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65E5C">
      <w:pPr>
        <w:keepNext w:val="0"/>
        <w:keepLines w:val="0"/>
        <w:pageBreakBefore w:val="0"/>
        <w:widowControl w:val="0"/>
        <w:tabs>
          <w:tab w:val="left" w:pos="3120"/>
        </w:tabs>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2BDEF4CD">
      <w:pPr>
        <w:keepNext w:val="0"/>
        <w:keepLines w:val="0"/>
        <w:pageBreakBefore w:val="0"/>
        <w:widowControl w:val="0"/>
        <w:tabs>
          <w:tab w:val="left" w:pos="3120"/>
        </w:tabs>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080560EE">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default" w:ascii="Times New Roman" w:hAnsi="Times New Roman" w:eastAsia="仿宋" w:cs="Times New Roman"/>
          <w:b/>
          <w:bCs w:val="0"/>
          <w:color w:val="000000"/>
          <w:sz w:val="52"/>
          <w:szCs w:val="52"/>
          <w:highlight w:val="none"/>
        </w:rPr>
      </w:pPr>
      <w:bookmarkStart w:id="0" w:name="_Toc12187"/>
      <w:r>
        <w:rPr>
          <w:rFonts w:hint="eastAsia" w:cs="Times New Roman"/>
          <w:b/>
          <w:bCs w:val="0"/>
          <w:color w:val="000000"/>
          <w:spacing w:val="-17"/>
          <w:sz w:val="52"/>
          <w:szCs w:val="52"/>
          <w:highlight w:val="none"/>
          <w:lang w:val="en-US" w:eastAsia="zh-CN"/>
        </w:rPr>
        <w:t>汾阳市10处乡镇集中式饮用水水源地</w:t>
      </w:r>
      <w:bookmarkStart w:id="1" w:name="_Toc21901"/>
      <w:bookmarkStart w:id="2" w:name="_Toc29212"/>
      <w:bookmarkStart w:id="3" w:name="_Toc19132"/>
      <w:bookmarkStart w:id="4" w:name="_Toc27828"/>
      <w:r>
        <w:rPr>
          <w:rFonts w:hint="default" w:ascii="Times New Roman" w:hAnsi="Times New Roman" w:eastAsia="仿宋" w:cs="Times New Roman"/>
          <w:b/>
          <w:bCs w:val="0"/>
          <w:color w:val="000000"/>
          <w:sz w:val="52"/>
          <w:szCs w:val="52"/>
          <w:highlight w:val="none"/>
        </w:rPr>
        <w:t>突发环境事件应急预案</w:t>
      </w:r>
      <w:bookmarkEnd w:id="0"/>
      <w:bookmarkEnd w:id="1"/>
      <w:bookmarkEnd w:id="2"/>
      <w:bookmarkEnd w:id="3"/>
      <w:bookmarkEnd w:id="4"/>
    </w:p>
    <w:p w14:paraId="1F4FB6A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color w:val="000000"/>
          <w:sz w:val="28"/>
          <w:szCs w:val="28"/>
          <w:highlight w:val="none"/>
          <w:lang w:eastAsia="zh-CN"/>
        </w:rPr>
      </w:pPr>
    </w:p>
    <w:p w14:paraId="75C29010">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EA2640A">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45D4BAF4">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r>
        <w:rPr>
          <w:rFonts w:hint="default" w:ascii="Times New Roman" w:hAnsi="Times New Roman" w:eastAsia="仿宋" w:cs="Times New Roman"/>
          <w:sz w:val="28"/>
          <w:szCs w:val="28"/>
          <w:highlight w:val="none"/>
        </w:rPr>
        <w:drawing>
          <wp:anchor distT="0" distB="0" distL="114300" distR="114300" simplePos="0" relativeHeight="251664384" behindDoc="0" locked="0" layoutInCell="1" allowOverlap="0">
            <wp:simplePos x="0" y="0"/>
            <wp:positionH relativeFrom="column">
              <wp:posOffset>1652905</wp:posOffset>
            </wp:positionH>
            <wp:positionV relativeFrom="paragraph">
              <wp:posOffset>509905</wp:posOffset>
            </wp:positionV>
            <wp:extent cx="1993900" cy="1896110"/>
            <wp:effectExtent l="0" t="0" r="6350" b="8890"/>
            <wp:wrapTopAndBottom/>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23"/>
                    <a:stretch>
                      <a:fillRect/>
                    </a:stretch>
                  </pic:blipFill>
                  <pic:spPr>
                    <a:xfrm>
                      <a:off x="0" y="0"/>
                      <a:ext cx="1993900" cy="1896110"/>
                    </a:xfrm>
                    <a:prstGeom prst="rect">
                      <a:avLst/>
                    </a:prstGeom>
                    <a:noFill/>
                    <a:ln>
                      <a:noFill/>
                    </a:ln>
                  </pic:spPr>
                </pic:pic>
              </a:graphicData>
            </a:graphic>
          </wp:anchor>
        </w:drawing>
      </w:r>
    </w:p>
    <w:p w14:paraId="17CC3687">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252A4421">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22D2667">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51B291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60CF38B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E357F0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7B27BE3C">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p>
    <w:p w14:paraId="5EAD9ABF">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pacing w:val="20"/>
          <w:sz w:val="36"/>
          <w:szCs w:val="36"/>
          <w:highlight w:val="none"/>
          <w:lang w:eastAsia="zh-CN"/>
        </w:rPr>
      </w:pPr>
      <w:r>
        <w:rPr>
          <w:rFonts w:hint="eastAsia" w:ascii="Times New Roman" w:hAnsi="Times New Roman" w:eastAsia="仿宋" w:cs="Times New Roman"/>
          <w:b/>
          <w:color w:val="000000"/>
          <w:spacing w:val="20"/>
          <w:sz w:val="36"/>
          <w:szCs w:val="36"/>
          <w:highlight w:val="none"/>
          <w:lang w:val="en-US" w:eastAsia="zh-CN"/>
        </w:rPr>
        <w:t>汾阳市</w:t>
      </w:r>
      <w:r>
        <w:rPr>
          <w:rFonts w:hint="default" w:ascii="Times New Roman" w:hAnsi="Times New Roman" w:eastAsia="仿宋" w:cs="Times New Roman"/>
          <w:b/>
          <w:color w:val="000000"/>
          <w:spacing w:val="20"/>
          <w:sz w:val="36"/>
          <w:szCs w:val="36"/>
          <w:highlight w:val="none"/>
          <w:lang w:eastAsia="zh-CN"/>
        </w:rPr>
        <w:t>人民政府</w:t>
      </w:r>
    </w:p>
    <w:p w14:paraId="40FB81A3">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r>
        <w:rPr>
          <w:rFonts w:hint="eastAsia" w:cs="Times New Roman"/>
          <w:b/>
          <w:color w:val="000000"/>
          <w:sz w:val="36"/>
          <w:szCs w:val="36"/>
          <w:highlight w:val="none"/>
          <w:lang w:val="en-US" w:eastAsia="zh-CN"/>
        </w:rPr>
        <w:t>2025年11</w:t>
      </w:r>
      <w:r>
        <w:rPr>
          <w:rFonts w:hint="default" w:ascii="Times New Roman" w:hAnsi="Times New Roman" w:eastAsia="仿宋" w:cs="Times New Roman"/>
          <w:b/>
          <w:color w:val="000000"/>
          <w:sz w:val="36"/>
          <w:szCs w:val="36"/>
          <w:highlight w:val="none"/>
        </w:rPr>
        <w:t>月</w:t>
      </w:r>
    </w:p>
    <w:p w14:paraId="30146EC1">
      <w:pPr>
        <w:bidi w:val="0"/>
        <w:rPr>
          <w:rFonts w:hint="default"/>
        </w:rPr>
      </w:pPr>
      <w:r>
        <w:rPr>
          <w:rFonts w:hint="default"/>
        </w:rPr>
        <w:br w:type="page"/>
      </w:r>
    </w:p>
    <w:p w14:paraId="29139D00">
      <w:pPr>
        <w:pStyle w:val="13"/>
        <w:rPr>
          <w:rFonts w:hint="default"/>
        </w:rPr>
      </w:pPr>
    </w:p>
    <w:p w14:paraId="5E196D2B">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eastAsia" w:ascii="仿宋" w:hAnsi="仿宋" w:eastAsia="仿宋" w:cs="仿宋"/>
          <w:b/>
          <w:bCs w:val="0"/>
          <w:caps w:val="0"/>
          <w:sz w:val="32"/>
          <w:szCs w:val="32"/>
          <w:lang w:val="en-US" w:eastAsia="zh-CN"/>
        </w:rPr>
      </w:pPr>
      <w:r>
        <w:rPr>
          <w:rFonts w:hint="eastAsia" w:ascii="仿宋" w:hAnsi="仿宋" w:cs="仿宋"/>
          <w:b/>
          <w:bCs w:val="0"/>
          <w:caps w:val="0"/>
          <w:sz w:val="32"/>
          <w:szCs w:val="32"/>
          <w:lang w:val="en-US" w:eastAsia="zh-CN"/>
        </w:rPr>
        <w:t>汾阳市10处乡镇集中式饮用水水源地</w:t>
      </w:r>
    </w:p>
    <w:p w14:paraId="5C8629C0">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default" w:ascii="仿宋" w:hAnsi="仿宋" w:eastAsia="仿宋" w:cs="仿宋"/>
          <w:b/>
          <w:color w:val="000000"/>
          <w:kern w:val="0"/>
          <w:sz w:val="32"/>
          <w:szCs w:val="32"/>
          <w:lang w:val="en-US" w:eastAsia="zh-CN" w:bidi="ar"/>
        </w:rPr>
      </w:pPr>
      <w:r>
        <w:rPr>
          <w:rFonts w:hint="eastAsia" w:ascii="仿宋" w:hAnsi="仿宋" w:eastAsia="仿宋" w:cs="仿宋"/>
          <w:b/>
          <w:bCs w:val="0"/>
          <w:caps w:val="0"/>
          <w:sz w:val="32"/>
          <w:szCs w:val="32"/>
          <w:lang w:val="en-US" w:eastAsia="zh-CN"/>
        </w:rPr>
        <w:t>突发环境事件应急预案</w:t>
      </w:r>
      <w:r>
        <w:rPr>
          <w:rFonts w:hint="eastAsia" w:ascii="仿宋" w:hAnsi="仿宋" w:cs="仿宋"/>
          <w:b/>
          <w:bCs w:val="0"/>
          <w:caps w:val="0"/>
          <w:sz w:val="32"/>
          <w:szCs w:val="32"/>
          <w:lang w:val="en-US" w:eastAsia="zh-CN"/>
        </w:rPr>
        <w:t>专家意见修改说明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244"/>
        <w:gridCol w:w="3086"/>
        <w:gridCol w:w="1298"/>
      </w:tblGrid>
      <w:tr w14:paraId="62D9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947EE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序号</w:t>
            </w:r>
          </w:p>
        </w:tc>
        <w:tc>
          <w:tcPr>
            <w:tcW w:w="3244" w:type="dxa"/>
            <w:vAlign w:val="center"/>
          </w:tcPr>
          <w:p w14:paraId="0CB58D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专家意见</w:t>
            </w:r>
          </w:p>
        </w:tc>
        <w:tc>
          <w:tcPr>
            <w:tcW w:w="3086" w:type="dxa"/>
            <w:vAlign w:val="center"/>
          </w:tcPr>
          <w:p w14:paraId="3D2BF0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修改说明</w:t>
            </w:r>
          </w:p>
        </w:tc>
        <w:tc>
          <w:tcPr>
            <w:tcW w:w="1298" w:type="dxa"/>
            <w:vAlign w:val="center"/>
          </w:tcPr>
          <w:p w14:paraId="52FA25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页码</w:t>
            </w:r>
          </w:p>
        </w:tc>
      </w:tr>
      <w:tr w14:paraId="760D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67C1D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1</w:t>
            </w:r>
          </w:p>
        </w:tc>
        <w:tc>
          <w:tcPr>
            <w:tcW w:w="3244" w:type="dxa"/>
            <w:vAlign w:val="center"/>
          </w:tcPr>
          <w:p w14:paraId="12C99C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完善与汾阳市人民政府、吕梁市生态环境局汾阳分局等相关预案的衔接内容</w:t>
            </w:r>
          </w:p>
        </w:tc>
        <w:tc>
          <w:tcPr>
            <w:tcW w:w="3086" w:type="dxa"/>
            <w:vAlign w:val="center"/>
          </w:tcPr>
          <w:p w14:paraId="53765B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完善与汾阳市人民政府、吕梁市生态环境局汾阳分局等相关预案的衔接内容</w:t>
            </w:r>
          </w:p>
        </w:tc>
        <w:tc>
          <w:tcPr>
            <w:tcW w:w="1298" w:type="dxa"/>
            <w:vAlign w:val="center"/>
          </w:tcPr>
          <w:p w14:paraId="290747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w:t>
            </w:r>
          </w:p>
        </w:tc>
      </w:tr>
      <w:tr w14:paraId="320E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A0D5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2</w:t>
            </w:r>
          </w:p>
        </w:tc>
        <w:tc>
          <w:tcPr>
            <w:tcW w:w="3244" w:type="dxa"/>
            <w:vAlign w:val="center"/>
          </w:tcPr>
          <w:p w14:paraId="4C9DD9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3086" w:type="dxa"/>
            <w:vAlign w:val="center"/>
          </w:tcPr>
          <w:p w14:paraId="55B792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w:t>
            </w:r>
            <w:r>
              <w:rPr>
                <w:rFonts w:hint="eastAsia" w:ascii="仿宋" w:hAnsi="仿宋" w:cs="仿宋"/>
                <w:sz w:val="28"/>
                <w:szCs w:val="28"/>
                <w:lang w:val="en-US" w:eastAsia="zh-CN"/>
              </w:rPr>
              <w:t>了</w:t>
            </w:r>
            <w:r>
              <w:rPr>
                <w:rFonts w:hint="eastAsia" w:ascii="仿宋" w:hAnsi="仿宋" w:eastAsia="仿宋" w:cs="仿宋"/>
                <w:sz w:val="28"/>
                <w:szCs w:val="28"/>
              </w:rPr>
              <w:t>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1298" w:type="dxa"/>
            <w:vAlign w:val="center"/>
          </w:tcPr>
          <w:p w14:paraId="58C85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见预案P18-P23</w:t>
            </w:r>
          </w:p>
        </w:tc>
      </w:tr>
      <w:tr w14:paraId="6DBA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73DEA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3</w:t>
            </w:r>
          </w:p>
        </w:tc>
        <w:tc>
          <w:tcPr>
            <w:tcW w:w="3244" w:type="dxa"/>
            <w:vAlign w:val="center"/>
          </w:tcPr>
          <w:p w14:paraId="5125FD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包括监测位置与频次、监测项目、分析方法等，明确应急监测数据的报告范围</w:t>
            </w:r>
          </w:p>
        </w:tc>
        <w:tc>
          <w:tcPr>
            <w:tcW w:w="3086" w:type="dxa"/>
            <w:vAlign w:val="center"/>
          </w:tcPr>
          <w:p w14:paraId="28838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w:t>
            </w:r>
            <w:r>
              <w:rPr>
                <w:rFonts w:hint="eastAsia" w:ascii="仿宋" w:hAnsi="仿宋" w:cs="仿宋"/>
                <w:sz w:val="28"/>
                <w:szCs w:val="28"/>
                <w:lang w:val="en-US" w:eastAsia="zh-CN"/>
              </w:rPr>
              <w:t>了</w:t>
            </w:r>
            <w:r>
              <w:rPr>
                <w:rFonts w:hint="eastAsia" w:ascii="仿宋" w:hAnsi="仿宋" w:eastAsia="仿宋" w:cs="仿宋"/>
                <w:sz w:val="28"/>
                <w:szCs w:val="28"/>
                <w:lang w:val="en-US" w:eastAsia="zh-CN"/>
              </w:rPr>
              <w:t>应急监测数据的报告范围</w:t>
            </w:r>
          </w:p>
        </w:tc>
        <w:tc>
          <w:tcPr>
            <w:tcW w:w="1298" w:type="dxa"/>
            <w:vAlign w:val="center"/>
          </w:tcPr>
          <w:p w14:paraId="2636C5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见预案P36-P39</w:t>
            </w:r>
          </w:p>
        </w:tc>
      </w:tr>
      <w:tr w14:paraId="15A1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7663D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4</w:t>
            </w:r>
          </w:p>
        </w:tc>
        <w:tc>
          <w:tcPr>
            <w:tcW w:w="3244" w:type="dxa"/>
            <w:vAlign w:val="center"/>
          </w:tcPr>
          <w:p w14:paraId="5AC011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3086" w:type="dxa"/>
            <w:vAlign w:val="center"/>
          </w:tcPr>
          <w:p w14:paraId="465E44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1298" w:type="dxa"/>
            <w:vAlign w:val="center"/>
          </w:tcPr>
          <w:p w14:paraId="7C398E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见评估P91-P93</w:t>
            </w:r>
          </w:p>
        </w:tc>
      </w:tr>
      <w:tr w14:paraId="0876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582F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5</w:t>
            </w:r>
          </w:p>
        </w:tc>
        <w:tc>
          <w:tcPr>
            <w:tcW w:w="3244" w:type="dxa"/>
            <w:vAlign w:val="center"/>
          </w:tcPr>
          <w:p w14:paraId="5B5640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明确信息上报的时限和内容；补充应急演练的相关内容</w:t>
            </w:r>
          </w:p>
        </w:tc>
        <w:tc>
          <w:tcPr>
            <w:tcW w:w="3086" w:type="dxa"/>
            <w:vAlign w:val="center"/>
          </w:tcPr>
          <w:p w14:paraId="270B6B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明确信息上报的时限和内容；</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补充应急演练的相关内容</w:t>
            </w:r>
          </w:p>
        </w:tc>
        <w:tc>
          <w:tcPr>
            <w:tcW w:w="1298" w:type="dxa"/>
            <w:vAlign w:val="center"/>
          </w:tcPr>
          <w:p w14:paraId="798F07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预案P35</w:t>
            </w:r>
          </w:p>
          <w:p w14:paraId="6E32DA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预案P52-P54</w:t>
            </w:r>
          </w:p>
        </w:tc>
      </w:tr>
      <w:tr w14:paraId="28A6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42EE5C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6</w:t>
            </w:r>
          </w:p>
        </w:tc>
        <w:tc>
          <w:tcPr>
            <w:tcW w:w="3244" w:type="dxa"/>
            <w:vAlign w:val="center"/>
          </w:tcPr>
          <w:p w14:paraId="5B3DB2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规范文本编辑</w:t>
            </w:r>
          </w:p>
        </w:tc>
        <w:tc>
          <w:tcPr>
            <w:tcW w:w="3086" w:type="dxa"/>
            <w:vAlign w:val="center"/>
          </w:tcPr>
          <w:p w14:paraId="32D01C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规范文本编辑</w:t>
            </w:r>
          </w:p>
        </w:tc>
        <w:tc>
          <w:tcPr>
            <w:tcW w:w="1298" w:type="dxa"/>
            <w:vAlign w:val="center"/>
          </w:tcPr>
          <w:p w14:paraId="31BC75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见评估、预案全文及附图附件</w:t>
            </w:r>
          </w:p>
        </w:tc>
      </w:tr>
    </w:tbl>
    <w:p w14:paraId="3D3D9254">
      <w:pPr>
        <w:keepNext w:val="0"/>
        <w:keepLines w:val="0"/>
        <w:pageBreakBefore w:val="0"/>
        <w:widowControl/>
        <w:suppressLineNumbers w:val="0"/>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仿宋" w:hAnsi="仿宋" w:eastAsia="仿宋" w:cs="仿宋"/>
          <w:sz w:val="36"/>
          <w:szCs w:val="36"/>
          <w:lang w:val="en-US"/>
        </w:rPr>
      </w:pPr>
      <w:r>
        <w:rPr>
          <w:rFonts w:hint="eastAsia" w:ascii="仿宋" w:hAnsi="仿宋" w:cs="仿宋"/>
          <w:b/>
          <w:color w:val="000000"/>
          <w:kern w:val="0"/>
          <w:sz w:val="36"/>
          <w:szCs w:val="36"/>
          <w:lang w:val="en-US" w:eastAsia="zh-CN" w:bidi="ar"/>
        </w:rPr>
        <w:t xml:space="preserve"> </w:t>
      </w:r>
    </w:p>
    <w:p w14:paraId="5C8C8A90">
      <w:pPr>
        <w:keepNext w:val="0"/>
        <w:keepLines w:val="0"/>
        <w:pageBreakBefore w:val="0"/>
        <w:widowControl/>
        <w:suppressLineNumbers w:val="0"/>
        <w:kinsoku/>
        <w:wordWrap/>
        <w:overflowPunct/>
        <w:topLinePunct w:val="0"/>
        <w:autoSpaceDE/>
        <w:autoSpaceDN/>
        <w:bidi w:val="0"/>
        <w:adjustRightInd w:val="0"/>
        <w:snapToGrid w:val="0"/>
        <w:spacing w:line="480" w:lineRule="auto"/>
        <w:ind w:right="0" w:firstLine="720" w:firstLineChars="200"/>
        <w:jc w:val="both"/>
        <w:textAlignment w:val="auto"/>
        <w:rPr>
          <w:rFonts w:hint="eastAsia" w:ascii="仿宋" w:hAnsi="仿宋" w:eastAsia="仿宋" w:cs="仿宋"/>
          <w:sz w:val="36"/>
          <w:szCs w:val="36"/>
          <w:lang w:val="en-US"/>
        </w:rPr>
      </w:pPr>
      <w:r>
        <w:rPr>
          <w:rFonts w:hint="eastAsia" w:ascii="仿宋" w:hAnsi="仿宋" w:eastAsia="仿宋" w:cs="仿宋"/>
          <w:color w:val="000000"/>
          <w:kern w:val="0"/>
          <w:sz w:val="36"/>
          <w:szCs w:val="36"/>
          <w:lang w:val="en-US" w:eastAsia="zh-CN" w:bidi="ar"/>
        </w:rPr>
        <w:t xml:space="preserve"> </w:t>
      </w:r>
    </w:p>
    <w:p w14:paraId="05379FCA">
      <w:pPr>
        <w:rPr>
          <w:rFonts w:hint="eastAsia" w:ascii="仿宋" w:hAnsi="仿宋" w:eastAsia="仿宋" w:cs="仿宋"/>
          <w:b/>
          <w:bCs/>
          <w:color w:val="auto"/>
          <w:sz w:val="36"/>
          <w:szCs w:val="32"/>
          <w:lang w:val="en-US" w:eastAsia="zh-CN"/>
        </w:rPr>
      </w:pPr>
      <w:r>
        <w:rPr>
          <w:rFonts w:hint="eastAsia" w:ascii="仿宋" w:hAnsi="仿宋" w:eastAsia="仿宋" w:cs="仿宋"/>
          <w:b/>
          <w:bCs/>
          <w:color w:val="auto"/>
          <w:sz w:val="36"/>
          <w:szCs w:val="32"/>
          <w:lang w:val="en-US" w:eastAsia="zh-CN"/>
        </w:rPr>
        <w:br w:type="page"/>
      </w:r>
    </w:p>
    <w:sdt>
      <w:sdtPr>
        <w:rPr>
          <w:rFonts w:hint="eastAsia" w:ascii="仿宋" w:hAnsi="仿宋" w:eastAsia="仿宋" w:cs="仿宋"/>
          <w:b/>
          <w:bCs/>
          <w:color w:val="000000"/>
          <w:kern w:val="2"/>
          <w:sz w:val="30"/>
          <w:szCs w:val="30"/>
          <w:lang w:val="zh-CN" w:eastAsia="zh-CN" w:bidi="zh-CN"/>
        </w:rPr>
        <w:id w:val="147454722"/>
        <w15:color w:val="DBDBDB"/>
        <w:docPartObj>
          <w:docPartGallery w:val="Table of Contents"/>
          <w:docPartUnique/>
        </w:docPartObj>
      </w:sdtPr>
      <w:sdtEndPr>
        <w:rPr>
          <w:rFonts w:hint="default" w:ascii="Times New Roman" w:hAnsi="Times New Roman" w:eastAsia="仿宋" w:cs="微软雅黑"/>
          <w:b/>
          <w:bCs/>
          <w:color w:val="000000"/>
          <w:kern w:val="2"/>
          <w:sz w:val="36"/>
          <w:szCs w:val="24"/>
          <w:lang w:val="en-US" w:eastAsia="zh-CN" w:bidi="ar-SA"/>
        </w:rPr>
      </w:sdtEndPr>
      <w:sdtContent>
        <w:p w14:paraId="4FDDA278">
          <w:pPr>
            <w:spacing w:before="0" w:beforeLines="0" w:after="0" w:afterLines="0" w:line="240" w:lineRule="auto"/>
            <w:ind w:left="0" w:leftChars="0" w:right="0" w:rightChars="0" w:firstLine="0" w:firstLineChars="0"/>
            <w:jc w:val="center"/>
            <w:rPr>
              <w:rFonts w:hint="eastAsia" w:ascii="仿宋" w:hAnsi="仿宋" w:eastAsia="仿宋" w:cs="仿宋"/>
              <w:b/>
              <w:bCs/>
              <w:sz w:val="30"/>
              <w:szCs w:val="30"/>
            </w:rPr>
          </w:pPr>
          <w:r>
            <w:rPr>
              <w:rFonts w:hint="eastAsia" w:ascii="仿宋" w:hAnsi="仿宋" w:eastAsia="仿宋" w:cs="仿宋"/>
              <w:b/>
              <w:bCs/>
              <w:sz w:val="30"/>
              <w:szCs w:val="30"/>
            </w:rPr>
            <w:t>目录</w:t>
          </w:r>
        </w:p>
        <w:p w14:paraId="7F24A2A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TOC \o "1-3" \h \u </w:instrText>
          </w:r>
          <w:r>
            <w:rPr>
              <w:rFonts w:hint="default"/>
            </w:rPr>
            <w:fldChar w:fldCharType="separate"/>
          </w:r>
          <w:r>
            <w:rPr>
              <w:rFonts w:hint="default"/>
            </w:rPr>
            <w:fldChar w:fldCharType="begin"/>
          </w:r>
          <w:r>
            <w:rPr>
              <w:rFonts w:hint="default"/>
            </w:rPr>
            <w:instrText xml:space="preserve"> HYPERLINK \l _Toc9233 </w:instrText>
          </w:r>
          <w:r>
            <w:rPr>
              <w:rFonts w:hint="default"/>
            </w:rPr>
            <w:fldChar w:fldCharType="separate"/>
          </w:r>
          <w:r>
            <w:rPr>
              <w:rFonts w:hint="default"/>
            </w:rPr>
            <w:t>第一章</w:t>
          </w:r>
          <w:r>
            <w:rPr>
              <w:rFonts w:hint="default"/>
              <w:lang w:val="en-US" w:eastAsia="zh-CN"/>
            </w:rPr>
            <w:t xml:space="preserve"> </w:t>
          </w:r>
          <w:r>
            <w:rPr>
              <w:rFonts w:hint="default"/>
            </w:rPr>
            <w:t>总则</w:t>
          </w:r>
          <w:r>
            <w:tab/>
          </w:r>
          <w:r>
            <w:fldChar w:fldCharType="begin"/>
          </w:r>
          <w:r>
            <w:instrText xml:space="preserve"> PAGEREF _Toc9233 \h </w:instrText>
          </w:r>
          <w:r>
            <w:fldChar w:fldCharType="separate"/>
          </w:r>
          <w:r>
            <w:t>1</w:t>
          </w:r>
          <w:r>
            <w:fldChar w:fldCharType="end"/>
          </w:r>
          <w:r>
            <w:rPr>
              <w:rFonts w:hint="default"/>
            </w:rPr>
            <w:fldChar w:fldCharType="end"/>
          </w:r>
        </w:p>
        <w:p w14:paraId="131CCDE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_Toc19739 </w:instrText>
          </w:r>
          <w:r>
            <w:rPr>
              <w:rFonts w:hint="default"/>
            </w:rPr>
            <w:fldChar w:fldCharType="separate"/>
          </w:r>
          <w:r>
            <w:rPr>
              <w:rFonts w:hint="default"/>
            </w:rPr>
            <w:t>1.1 编制目的</w:t>
          </w:r>
          <w:r>
            <w:tab/>
          </w:r>
          <w:r>
            <w:fldChar w:fldCharType="begin"/>
          </w:r>
          <w:r>
            <w:instrText xml:space="preserve"> PAGEREF _Toc19739 \h </w:instrText>
          </w:r>
          <w:r>
            <w:fldChar w:fldCharType="separate"/>
          </w:r>
          <w:r>
            <w:t>1</w:t>
          </w:r>
          <w:r>
            <w:fldChar w:fldCharType="end"/>
          </w:r>
          <w:r>
            <w:rPr>
              <w:rFonts w:hint="default"/>
            </w:rPr>
            <w:fldChar w:fldCharType="end"/>
          </w:r>
        </w:p>
        <w:p w14:paraId="412CB83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_Toc19959 </w:instrText>
          </w:r>
          <w:r>
            <w:rPr>
              <w:rFonts w:hint="default"/>
            </w:rPr>
            <w:fldChar w:fldCharType="separate"/>
          </w:r>
          <w:r>
            <w:rPr>
              <w:rFonts w:hint="default"/>
            </w:rPr>
            <w:t>1.2 编制依据</w:t>
          </w:r>
          <w:r>
            <w:tab/>
          </w:r>
          <w:r>
            <w:fldChar w:fldCharType="begin"/>
          </w:r>
          <w:r>
            <w:instrText xml:space="preserve"> PAGEREF _Toc19959 \h </w:instrText>
          </w:r>
          <w:r>
            <w:fldChar w:fldCharType="separate"/>
          </w:r>
          <w:r>
            <w:t>1</w:t>
          </w:r>
          <w:r>
            <w:fldChar w:fldCharType="end"/>
          </w:r>
          <w:r>
            <w:rPr>
              <w:rFonts w:hint="default"/>
            </w:rPr>
            <w:fldChar w:fldCharType="end"/>
          </w:r>
        </w:p>
        <w:p w14:paraId="7D80F36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_Toc30952 </w:instrText>
          </w:r>
          <w:r>
            <w:rPr>
              <w:rFonts w:hint="default"/>
            </w:rPr>
            <w:fldChar w:fldCharType="separate"/>
          </w:r>
          <w:r>
            <w:rPr>
              <w:rFonts w:hint="default"/>
            </w:rPr>
            <w:t>1.2.1 相关法律法规</w:t>
          </w:r>
          <w:r>
            <w:tab/>
          </w:r>
          <w:r>
            <w:fldChar w:fldCharType="begin"/>
          </w:r>
          <w:r>
            <w:instrText xml:space="preserve"> PAGEREF _Toc30952 \h </w:instrText>
          </w:r>
          <w:r>
            <w:fldChar w:fldCharType="separate"/>
          </w:r>
          <w:r>
            <w:t>1</w:t>
          </w:r>
          <w:r>
            <w:fldChar w:fldCharType="end"/>
          </w:r>
          <w:r>
            <w:rPr>
              <w:rFonts w:hint="default"/>
            </w:rPr>
            <w:fldChar w:fldCharType="end"/>
          </w:r>
        </w:p>
        <w:p w14:paraId="6B5EBE8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_Toc19259 </w:instrText>
          </w:r>
          <w:r>
            <w:rPr>
              <w:rFonts w:hint="default"/>
            </w:rPr>
            <w:fldChar w:fldCharType="separate"/>
          </w:r>
          <w:r>
            <w:rPr>
              <w:rFonts w:hint="default"/>
              <w:lang w:val="en-US" w:eastAsia="zh-CN"/>
            </w:rPr>
            <w:t>1.2.2相关标准规范和文件</w:t>
          </w:r>
          <w:r>
            <w:tab/>
          </w:r>
          <w:r>
            <w:fldChar w:fldCharType="begin"/>
          </w:r>
          <w:r>
            <w:instrText xml:space="preserve"> PAGEREF _Toc19259 \h </w:instrText>
          </w:r>
          <w:r>
            <w:fldChar w:fldCharType="separate"/>
          </w:r>
          <w:r>
            <w:t>2</w:t>
          </w:r>
          <w:r>
            <w:fldChar w:fldCharType="end"/>
          </w:r>
          <w:r>
            <w:rPr>
              <w:rFonts w:hint="default"/>
            </w:rPr>
            <w:fldChar w:fldCharType="end"/>
          </w:r>
        </w:p>
        <w:p w14:paraId="398E410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_Toc1983 </w:instrText>
          </w:r>
          <w:r>
            <w:rPr>
              <w:rFonts w:hint="default"/>
            </w:rPr>
            <w:fldChar w:fldCharType="separate"/>
          </w:r>
          <w:r>
            <w:rPr>
              <w:rFonts w:hint="default"/>
              <w:lang w:val="en-US" w:eastAsia="zh-CN"/>
            </w:rPr>
            <w:t>1.2.3 其他技术资料</w:t>
          </w:r>
          <w:r>
            <w:tab/>
          </w:r>
          <w:r>
            <w:fldChar w:fldCharType="begin"/>
          </w:r>
          <w:r>
            <w:instrText xml:space="preserve"> PAGEREF _Toc1983 \h </w:instrText>
          </w:r>
          <w:r>
            <w:fldChar w:fldCharType="separate"/>
          </w:r>
          <w:r>
            <w:t>3</w:t>
          </w:r>
          <w:r>
            <w:fldChar w:fldCharType="end"/>
          </w:r>
          <w:r>
            <w:rPr>
              <w:rFonts w:hint="default"/>
            </w:rPr>
            <w:fldChar w:fldCharType="end"/>
          </w:r>
        </w:p>
        <w:p w14:paraId="6F384D6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_Toc28908 </w:instrText>
          </w:r>
          <w:r>
            <w:rPr>
              <w:rFonts w:hint="default"/>
            </w:rPr>
            <w:fldChar w:fldCharType="separate"/>
          </w:r>
          <w:r>
            <w:rPr>
              <w:rFonts w:hint="default"/>
              <w:lang w:val="en-US" w:eastAsia="zh-CN"/>
            </w:rPr>
            <w:t>1.3 预案衔接</w:t>
          </w:r>
          <w:r>
            <w:tab/>
          </w:r>
          <w:r>
            <w:fldChar w:fldCharType="begin"/>
          </w:r>
          <w:r>
            <w:instrText xml:space="preserve"> PAGEREF _Toc28908 \h </w:instrText>
          </w:r>
          <w:r>
            <w:fldChar w:fldCharType="separate"/>
          </w:r>
          <w:r>
            <w:t>3</w:t>
          </w:r>
          <w:r>
            <w:fldChar w:fldCharType="end"/>
          </w:r>
          <w:r>
            <w:rPr>
              <w:rFonts w:hint="default"/>
            </w:rPr>
            <w:fldChar w:fldCharType="end"/>
          </w:r>
        </w:p>
        <w:p w14:paraId="67C9986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_Toc28069 </w:instrText>
          </w:r>
          <w:r>
            <w:rPr>
              <w:rFonts w:hint="default"/>
            </w:rPr>
            <w:fldChar w:fldCharType="separate"/>
          </w:r>
          <w:r>
            <w:rPr>
              <w:rFonts w:hint="default"/>
              <w:lang w:val="en-US" w:eastAsia="zh-CN"/>
            </w:rPr>
            <w:t>1.4适用范围</w:t>
          </w:r>
          <w:r>
            <w:tab/>
          </w:r>
          <w:r>
            <w:fldChar w:fldCharType="begin"/>
          </w:r>
          <w:r>
            <w:instrText xml:space="preserve"> PAGEREF _Toc28069 \h </w:instrText>
          </w:r>
          <w:r>
            <w:fldChar w:fldCharType="separate"/>
          </w:r>
          <w:r>
            <w:t>4</w:t>
          </w:r>
          <w:r>
            <w:fldChar w:fldCharType="end"/>
          </w:r>
          <w:r>
            <w:rPr>
              <w:rFonts w:hint="default"/>
            </w:rPr>
            <w:fldChar w:fldCharType="end"/>
          </w:r>
        </w:p>
        <w:p w14:paraId="5B628D3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_Toc20840 </w:instrText>
          </w:r>
          <w:r>
            <w:rPr>
              <w:rFonts w:hint="default"/>
            </w:rPr>
            <w:fldChar w:fldCharType="separate"/>
          </w:r>
          <w:r>
            <w:rPr>
              <w:rFonts w:hint="default"/>
            </w:rPr>
            <w:t>1.</w:t>
          </w:r>
          <w:r>
            <w:rPr>
              <w:rFonts w:hint="default"/>
              <w:lang w:val="en-US" w:eastAsia="zh-CN"/>
            </w:rPr>
            <w:t>5</w:t>
          </w:r>
          <w:r>
            <w:rPr>
              <w:rFonts w:hint="default"/>
            </w:rPr>
            <w:t xml:space="preserve"> 工作原则</w:t>
          </w:r>
          <w:r>
            <w:tab/>
          </w:r>
          <w:r>
            <w:fldChar w:fldCharType="begin"/>
          </w:r>
          <w:r>
            <w:instrText xml:space="preserve"> PAGEREF _Toc20840 \h </w:instrText>
          </w:r>
          <w:r>
            <w:fldChar w:fldCharType="separate"/>
          </w:r>
          <w:r>
            <w:t>4</w:t>
          </w:r>
          <w:r>
            <w:fldChar w:fldCharType="end"/>
          </w:r>
          <w:r>
            <w:rPr>
              <w:rFonts w:hint="default"/>
            </w:rPr>
            <w:fldChar w:fldCharType="end"/>
          </w:r>
        </w:p>
        <w:p w14:paraId="6969DAEE">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_Toc20552 </w:instrText>
          </w:r>
          <w:r>
            <w:rPr>
              <w:rFonts w:hint="default"/>
            </w:rPr>
            <w:fldChar w:fldCharType="separate"/>
          </w:r>
          <w:r>
            <w:rPr>
              <w:rFonts w:hint="default"/>
            </w:rPr>
            <w:t>第二章 饮用水水源概况</w:t>
          </w:r>
          <w:r>
            <w:tab/>
          </w:r>
          <w:r>
            <w:fldChar w:fldCharType="begin"/>
          </w:r>
          <w:r>
            <w:instrText xml:space="preserve"> PAGEREF _Toc20552 \h </w:instrText>
          </w:r>
          <w:r>
            <w:fldChar w:fldCharType="separate"/>
          </w:r>
          <w:r>
            <w:t>5</w:t>
          </w:r>
          <w:r>
            <w:fldChar w:fldCharType="end"/>
          </w:r>
          <w:r>
            <w:rPr>
              <w:rFonts w:hint="default"/>
            </w:rPr>
            <w:fldChar w:fldCharType="end"/>
          </w:r>
        </w:p>
        <w:p w14:paraId="49E103D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_Toc28000 </w:instrText>
          </w:r>
          <w:r>
            <w:rPr>
              <w:rFonts w:hint="default"/>
            </w:rPr>
            <w:fldChar w:fldCharType="separate"/>
          </w:r>
          <w:r>
            <w:rPr>
              <w:rFonts w:hint="default"/>
            </w:rPr>
            <w:t>2.1 水源建设工程概况</w:t>
          </w:r>
          <w:r>
            <w:tab/>
          </w:r>
          <w:r>
            <w:fldChar w:fldCharType="begin"/>
          </w:r>
          <w:r>
            <w:instrText xml:space="preserve"> PAGEREF _Toc28000 \h </w:instrText>
          </w:r>
          <w:r>
            <w:fldChar w:fldCharType="separate"/>
          </w:r>
          <w:r>
            <w:t>5</w:t>
          </w:r>
          <w:r>
            <w:fldChar w:fldCharType="end"/>
          </w:r>
          <w:r>
            <w:rPr>
              <w:rFonts w:hint="default"/>
            </w:rPr>
            <w:fldChar w:fldCharType="end"/>
          </w:r>
        </w:p>
        <w:p w14:paraId="0799D59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_Toc16481 </w:instrText>
          </w:r>
          <w:r>
            <w:rPr>
              <w:rFonts w:hint="default"/>
            </w:rPr>
            <w:fldChar w:fldCharType="separate"/>
          </w:r>
          <w:r>
            <w:rPr>
              <w:rFonts w:hint="default"/>
            </w:rPr>
            <w:t>2.2 水源保护区划分结果</w:t>
          </w:r>
          <w:r>
            <w:tab/>
          </w:r>
          <w:r>
            <w:fldChar w:fldCharType="begin"/>
          </w:r>
          <w:r>
            <w:instrText xml:space="preserve"> PAGEREF _Toc16481 \h </w:instrText>
          </w:r>
          <w:r>
            <w:fldChar w:fldCharType="separate"/>
          </w:r>
          <w:r>
            <w:t>15</w:t>
          </w:r>
          <w:r>
            <w:fldChar w:fldCharType="end"/>
          </w:r>
          <w:r>
            <w:rPr>
              <w:rFonts w:hint="default"/>
            </w:rPr>
            <w:fldChar w:fldCharType="end"/>
          </w:r>
        </w:p>
        <w:p w14:paraId="1C4596C3">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_Toc8752 </w:instrText>
          </w:r>
          <w:r>
            <w:rPr>
              <w:rFonts w:hint="default"/>
            </w:rPr>
            <w:fldChar w:fldCharType="separate"/>
          </w:r>
          <w:r>
            <w:rPr>
              <w:rFonts w:hint="default"/>
            </w:rPr>
            <w:t>第三章</w:t>
          </w:r>
          <w:r>
            <w:rPr>
              <w:rFonts w:hint="default"/>
              <w:lang w:val="en-US" w:eastAsia="zh-CN"/>
            </w:rPr>
            <w:t xml:space="preserve"> </w:t>
          </w:r>
          <w:r>
            <w:rPr>
              <w:rFonts w:hint="default"/>
            </w:rPr>
            <w:t>应急组织指挥体系</w:t>
          </w:r>
          <w:r>
            <w:tab/>
          </w:r>
          <w:r>
            <w:fldChar w:fldCharType="begin"/>
          </w:r>
          <w:r>
            <w:instrText xml:space="preserve"> PAGEREF _Toc8752 \h </w:instrText>
          </w:r>
          <w:r>
            <w:fldChar w:fldCharType="separate"/>
          </w:r>
          <w:r>
            <w:t>18</w:t>
          </w:r>
          <w:r>
            <w:fldChar w:fldCharType="end"/>
          </w:r>
          <w:r>
            <w:rPr>
              <w:rFonts w:hint="default"/>
            </w:rPr>
            <w:fldChar w:fldCharType="end"/>
          </w:r>
        </w:p>
        <w:p w14:paraId="747686F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_Toc8001 </w:instrText>
          </w:r>
          <w:r>
            <w:rPr>
              <w:rFonts w:hint="default"/>
            </w:rPr>
            <w:fldChar w:fldCharType="separate"/>
          </w:r>
          <w:r>
            <w:rPr>
              <w:rFonts w:hint="default"/>
            </w:rPr>
            <w:t>3.1 应急组织指挥体系</w:t>
          </w:r>
          <w:r>
            <w:tab/>
          </w:r>
          <w:r>
            <w:fldChar w:fldCharType="begin"/>
          </w:r>
          <w:r>
            <w:instrText xml:space="preserve"> PAGEREF _Toc8001 \h </w:instrText>
          </w:r>
          <w:r>
            <w:fldChar w:fldCharType="separate"/>
          </w:r>
          <w:r>
            <w:t>18</w:t>
          </w:r>
          <w:r>
            <w:fldChar w:fldCharType="end"/>
          </w:r>
          <w:r>
            <w:rPr>
              <w:rFonts w:hint="default"/>
            </w:rPr>
            <w:fldChar w:fldCharType="end"/>
          </w:r>
        </w:p>
        <w:p w14:paraId="3C8D5B0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_Toc26558 </w:instrText>
          </w:r>
          <w:r>
            <w:rPr>
              <w:rFonts w:hint="default"/>
            </w:rPr>
            <w:fldChar w:fldCharType="separate"/>
          </w:r>
          <w:r>
            <w:rPr>
              <w:rFonts w:hint="default"/>
            </w:rPr>
            <w:t>3.2 应急组织指挥部</w:t>
          </w:r>
          <w:r>
            <w:tab/>
          </w:r>
          <w:r>
            <w:fldChar w:fldCharType="begin"/>
          </w:r>
          <w:r>
            <w:instrText xml:space="preserve"> PAGEREF _Toc26558 \h </w:instrText>
          </w:r>
          <w:r>
            <w:fldChar w:fldCharType="separate"/>
          </w:r>
          <w:r>
            <w:t>18</w:t>
          </w:r>
          <w:r>
            <w:fldChar w:fldCharType="end"/>
          </w:r>
          <w:r>
            <w:rPr>
              <w:rFonts w:hint="default"/>
            </w:rPr>
            <w:fldChar w:fldCharType="end"/>
          </w:r>
        </w:p>
        <w:p w14:paraId="30F0335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_Toc6568 </w:instrText>
          </w:r>
          <w:r>
            <w:rPr>
              <w:rFonts w:hint="default"/>
            </w:rPr>
            <w:fldChar w:fldCharType="separate"/>
          </w:r>
          <w:r>
            <w:rPr>
              <w:rFonts w:hint="default"/>
            </w:rPr>
            <w:t>3.3 现场应急指挥部</w:t>
          </w:r>
          <w:r>
            <w:tab/>
          </w:r>
          <w:r>
            <w:fldChar w:fldCharType="begin"/>
          </w:r>
          <w:r>
            <w:instrText xml:space="preserve"> PAGEREF _Toc6568 \h </w:instrText>
          </w:r>
          <w:r>
            <w:fldChar w:fldCharType="separate"/>
          </w:r>
          <w:r>
            <w:t>24</w:t>
          </w:r>
          <w:r>
            <w:fldChar w:fldCharType="end"/>
          </w:r>
          <w:r>
            <w:rPr>
              <w:rFonts w:hint="default"/>
            </w:rPr>
            <w:fldChar w:fldCharType="end"/>
          </w:r>
        </w:p>
        <w:p w14:paraId="395C705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_Toc17016 </w:instrText>
          </w:r>
          <w:r>
            <w:rPr>
              <w:rFonts w:hint="default"/>
            </w:rPr>
            <w:fldChar w:fldCharType="separate"/>
          </w:r>
          <w:r>
            <w:rPr>
              <w:rFonts w:hint="default"/>
            </w:rPr>
            <w:t>3.4 现场应急工作组</w:t>
          </w:r>
          <w:r>
            <w:tab/>
          </w:r>
          <w:r>
            <w:fldChar w:fldCharType="begin"/>
          </w:r>
          <w:r>
            <w:instrText xml:space="preserve"> PAGEREF _Toc17016 \h </w:instrText>
          </w:r>
          <w:r>
            <w:fldChar w:fldCharType="separate"/>
          </w:r>
          <w:r>
            <w:t>25</w:t>
          </w:r>
          <w:r>
            <w:fldChar w:fldCharType="end"/>
          </w:r>
          <w:r>
            <w:rPr>
              <w:rFonts w:hint="default"/>
            </w:rPr>
            <w:fldChar w:fldCharType="end"/>
          </w:r>
        </w:p>
        <w:p w14:paraId="5ED0F6B8">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_Toc10830 </w:instrText>
          </w:r>
          <w:r>
            <w:rPr>
              <w:rFonts w:hint="default"/>
            </w:rPr>
            <w:fldChar w:fldCharType="separate"/>
          </w:r>
          <w:r>
            <w:rPr>
              <w:rFonts w:hint="default"/>
            </w:rPr>
            <w:t>第</w:t>
          </w:r>
          <w:r>
            <w:rPr>
              <w:rFonts w:hint="default"/>
              <w:lang w:val="en-US" w:eastAsia="zh-CN"/>
            </w:rPr>
            <w:t>四</w:t>
          </w:r>
          <w:r>
            <w:rPr>
              <w:rFonts w:hint="default"/>
            </w:rPr>
            <w:t>章</w:t>
          </w:r>
          <w:r>
            <w:rPr>
              <w:rFonts w:hint="default"/>
              <w:lang w:val="en-US" w:eastAsia="zh-CN"/>
            </w:rPr>
            <w:t xml:space="preserve"> </w:t>
          </w:r>
          <w:r>
            <w:rPr>
              <w:rFonts w:hint="default"/>
            </w:rPr>
            <w:t>应急响应</w:t>
          </w:r>
          <w:r>
            <w:tab/>
          </w:r>
          <w:r>
            <w:fldChar w:fldCharType="begin"/>
          </w:r>
          <w:r>
            <w:instrText xml:space="preserve"> PAGEREF _Toc10830 \h </w:instrText>
          </w:r>
          <w:r>
            <w:fldChar w:fldCharType="separate"/>
          </w:r>
          <w:r>
            <w:t>28</w:t>
          </w:r>
          <w:r>
            <w:fldChar w:fldCharType="end"/>
          </w:r>
          <w:r>
            <w:rPr>
              <w:rFonts w:hint="default"/>
            </w:rPr>
            <w:fldChar w:fldCharType="end"/>
          </w:r>
        </w:p>
        <w:p w14:paraId="396127D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_Toc12848 </w:instrText>
          </w:r>
          <w:r>
            <w:rPr>
              <w:rFonts w:hint="default"/>
            </w:rPr>
            <w:fldChar w:fldCharType="separate"/>
          </w:r>
          <w:r>
            <w:rPr>
              <w:rFonts w:hint="default"/>
            </w:rPr>
            <w:t>4.1 预防</w:t>
          </w:r>
          <w:r>
            <w:tab/>
          </w:r>
          <w:r>
            <w:fldChar w:fldCharType="begin"/>
          </w:r>
          <w:r>
            <w:instrText xml:space="preserve"> PAGEREF _Toc12848 \h </w:instrText>
          </w:r>
          <w:r>
            <w:fldChar w:fldCharType="separate"/>
          </w:r>
          <w:r>
            <w:t>28</w:t>
          </w:r>
          <w:r>
            <w:fldChar w:fldCharType="end"/>
          </w:r>
          <w:r>
            <w:rPr>
              <w:rFonts w:hint="default"/>
            </w:rPr>
            <w:fldChar w:fldCharType="end"/>
          </w:r>
        </w:p>
        <w:p w14:paraId="6A26AE1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_Toc27082 </w:instrText>
          </w:r>
          <w:r>
            <w:rPr>
              <w:rFonts w:hint="default"/>
            </w:rPr>
            <w:fldChar w:fldCharType="separate"/>
          </w:r>
          <w:r>
            <w:rPr>
              <w:rFonts w:hint="default"/>
              <w:lang w:val="en-US" w:eastAsia="zh-CN"/>
            </w:rPr>
            <w:t>4.2</w:t>
          </w:r>
          <w:r>
            <w:rPr>
              <w:rFonts w:hint="default"/>
            </w:rPr>
            <w:t>应急响应工作路线</w:t>
          </w:r>
          <w:r>
            <w:tab/>
          </w:r>
          <w:r>
            <w:fldChar w:fldCharType="begin"/>
          </w:r>
          <w:r>
            <w:instrText xml:space="preserve"> PAGEREF _Toc27082 \h </w:instrText>
          </w:r>
          <w:r>
            <w:fldChar w:fldCharType="separate"/>
          </w:r>
          <w:r>
            <w:t>29</w:t>
          </w:r>
          <w:r>
            <w:fldChar w:fldCharType="end"/>
          </w:r>
          <w:r>
            <w:rPr>
              <w:rFonts w:hint="default"/>
            </w:rPr>
            <w:fldChar w:fldCharType="end"/>
          </w:r>
        </w:p>
        <w:p w14:paraId="1FA4203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_Toc27878 </w:instrText>
          </w:r>
          <w:r>
            <w:rPr>
              <w:rFonts w:hint="default"/>
            </w:rPr>
            <w:fldChar w:fldCharType="separate"/>
          </w:r>
          <w:r>
            <w:rPr>
              <w:rFonts w:hint="default"/>
              <w:lang w:val="en-US" w:eastAsia="zh-CN"/>
            </w:rPr>
            <w:t>4.3</w:t>
          </w:r>
          <w:r>
            <w:rPr>
              <w:rFonts w:hint="default"/>
            </w:rPr>
            <w:t>信息收集和研判</w:t>
          </w:r>
          <w:r>
            <w:tab/>
          </w:r>
          <w:r>
            <w:fldChar w:fldCharType="begin"/>
          </w:r>
          <w:r>
            <w:instrText xml:space="preserve"> PAGEREF _Toc27878 \h </w:instrText>
          </w:r>
          <w:r>
            <w:fldChar w:fldCharType="separate"/>
          </w:r>
          <w:r>
            <w:t>30</w:t>
          </w:r>
          <w:r>
            <w:fldChar w:fldCharType="end"/>
          </w:r>
          <w:r>
            <w:rPr>
              <w:rFonts w:hint="default"/>
            </w:rPr>
            <w:fldChar w:fldCharType="end"/>
          </w:r>
        </w:p>
        <w:p w14:paraId="15230FA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_Toc24263 </w:instrText>
          </w:r>
          <w:r>
            <w:rPr>
              <w:rFonts w:hint="default"/>
            </w:rPr>
            <w:fldChar w:fldCharType="separate"/>
          </w:r>
          <w:r>
            <w:rPr>
              <w:rFonts w:hint="default"/>
            </w:rPr>
            <w:t>4.3.1 信息收集</w:t>
          </w:r>
          <w:r>
            <w:tab/>
          </w:r>
          <w:r>
            <w:fldChar w:fldCharType="begin"/>
          </w:r>
          <w:r>
            <w:instrText xml:space="preserve"> PAGEREF _Toc24263 \h </w:instrText>
          </w:r>
          <w:r>
            <w:fldChar w:fldCharType="separate"/>
          </w:r>
          <w:r>
            <w:t>30</w:t>
          </w:r>
          <w:r>
            <w:fldChar w:fldCharType="end"/>
          </w:r>
          <w:r>
            <w:rPr>
              <w:rFonts w:hint="default"/>
            </w:rPr>
            <w:fldChar w:fldCharType="end"/>
          </w:r>
        </w:p>
        <w:p w14:paraId="4E33F6A8">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_Toc27831 </w:instrText>
          </w:r>
          <w:r>
            <w:rPr>
              <w:rFonts w:hint="default"/>
            </w:rPr>
            <w:fldChar w:fldCharType="separate"/>
          </w:r>
          <w:r>
            <w:rPr>
              <w:rFonts w:hint="default"/>
              <w:lang w:val="en-US" w:eastAsia="zh-CN"/>
            </w:rPr>
            <w:t>4.3.2 信息初次研判</w:t>
          </w:r>
          <w:r>
            <w:tab/>
          </w:r>
          <w:r>
            <w:fldChar w:fldCharType="begin"/>
          </w:r>
          <w:r>
            <w:instrText xml:space="preserve"> PAGEREF _Toc27831 \h </w:instrText>
          </w:r>
          <w:r>
            <w:fldChar w:fldCharType="separate"/>
          </w:r>
          <w:r>
            <w:t>31</w:t>
          </w:r>
          <w:r>
            <w:fldChar w:fldCharType="end"/>
          </w:r>
          <w:r>
            <w:rPr>
              <w:rFonts w:hint="default"/>
            </w:rPr>
            <w:fldChar w:fldCharType="end"/>
          </w:r>
        </w:p>
        <w:p w14:paraId="320D29A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_Toc22679 </w:instrText>
          </w:r>
          <w:r>
            <w:rPr>
              <w:rFonts w:hint="default"/>
            </w:rPr>
            <w:fldChar w:fldCharType="separate"/>
          </w:r>
          <w:r>
            <w:rPr>
              <w:rFonts w:hint="default"/>
              <w:lang w:val="en-US" w:eastAsia="zh-CN"/>
            </w:rPr>
            <w:t>4.4 发布预警和预警行动</w:t>
          </w:r>
          <w:r>
            <w:tab/>
          </w:r>
          <w:r>
            <w:fldChar w:fldCharType="begin"/>
          </w:r>
          <w:r>
            <w:instrText xml:space="preserve"> PAGEREF _Toc22679 \h </w:instrText>
          </w:r>
          <w:r>
            <w:fldChar w:fldCharType="separate"/>
          </w:r>
          <w:r>
            <w:t>32</w:t>
          </w:r>
          <w:r>
            <w:fldChar w:fldCharType="end"/>
          </w:r>
          <w:r>
            <w:rPr>
              <w:rFonts w:hint="default"/>
            </w:rPr>
            <w:fldChar w:fldCharType="end"/>
          </w:r>
        </w:p>
        <w:p w14:paraId="63FF6ED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_Toc21144 </w:instrText>
          </w:r>
          <w:r>
            <w:rPr>
              <w:rFonts w:hint="default"/>
            </w:rPr>
            <w:fldChar w:fldCharType="separate"/>
          </w:r>
          <w:r>
            <w:rPr>
              <w:rFonts w:hint="default"/>
            </w:rPr>
            <w:t>4.4.1 预警分级</w:t>
          </w:r>
          <w:r>
            <w:tab/>
          </w:r>
          <w:r>
            <w:fldChar w:fldCharType="begin"/>
          </w:r>
          <w:r>
            <w:instrText xml:space="preserve"> PAGEREF _Toc21144 \h </w:instrText>
          </w:r>
          <w:r>
            <w:fldChar w:fldCharType="separate"/>
          </w:r>
          <w:r>
            <w:t>32</w:t>
          </w:r>
          <w:r>
            <w:fldChar w:fldCharType="end"/>
          </w:r>
          <w:r>
            <w:rPr>
              <w:rFonts w:hint="default"/>
            </w:rPr>
            <w:fldChar w:fldCharType="end"/>
          </w:r>
        </w:p>
        <w:p w14:paraId="229CCFC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_Toc28583 </w:instrText>
          </w:r>
          <w:r>
            <w:rPr>
              <w:rFonts w:hint="default"/>
            </w:rPr>
            <w:fldChar w:fldCharType="separate"/>
          </w:r>
          <w:r>
            <w:rPr>
              <w:rFonts w:hint="default"/>
            </w:rPr>
            <w:t>4.4.</w:t>
          </w:r>
          <w:r>
            <w:rPr>
              <w:rFonts w:hint="default"/>
              <w:lang w:val="en-US" w:eastAsia="zh-CN"/>
            </w:rPr>
            <w:t>2</w:t>
          </w:r>
          <w:r>
            <w:rPr>
              <w:rFonts w:hint="default"/>
            </w:rPr>
            <w:t xml:space="preserve"> 发布预警和预警级别调整</w:t>
          </w:r>
          <w:r>
            <w:tab/>
          </w:r>
          <w:r>
            <w:fldChar w:fldCharType="begin"/>
          </w:r>
          <w:r>
            <w:instrText xml:space="preserve"> PAGEREF _Toc28583 \h </w:instrText>
          </w:r>
          <w:r>
            <w:fldChar w:fldCharType="separate"/>
          </w:r>
          <w:r>
            <w:t>33</w:t>
          </w:r>
          <w:r>
            <w:fldChar w:fldCharType="end"/>
          </w:r>
          <w:r>
            <w:rPr>
              <w:rFonts w:hint="default"/>
            </w:rPr>
            <w:fldChar w:fldCharType="end"/>
          </w:r>
        </w:p>
        <w:p w14:paraId="2AD45E16">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_Toc27515 </w:instrText>
          </w:r>
          <w:r>
            <w:rPr>
              <w:rFonts w:hint="default"/>
            </w:rPr>
            <w:fldChar w:fldCharType="separate"/>
          </w:r>
          <w:r>
            <w:rPr>
              <w:rFonts w:hint="default"/>
            </w:rPr>
            <w:t>4.4.</w:t>
          </w:r>
          <w:r>
            <w:rPr>
              <w:rFonts w:hint="default"/>
              <w:lang w:val="en-US" w:eastAsia="zh-CN"/>
            </w:rPr>
            <w:t>3</w:t>
          </w:r>
          <w:r>
            <w:rPr>
              <w:rFonts w:hint="default"/>
            </w:rPr>
            <w:t xml:space="preserve"> 预警发布内容</w:t>
          </w:r>
          <w:r>
            <w:tab/>
          </w:r>
          <w:r>
            <w:fldChar w:fldCharType="begin"/>
          </w:r>
          <w:r>
            <w:instrText xml:space="preserve"> PAGEREF _Toc27515 \h </w:instrText>
          </w:r>
          <w:r>
            <w:fldChar w:fldCharType="separate"/>
          </w:r>
          <w:r>
            <w:t>33</w:t>
          </w:r>
          <w:r>
            <w:fldChar w:fldCharType="end"/>
          </w:r>
          <w:r>
            <w:rPr>
              <w:rFonts w:hint="default"/>
            </w:rPr>
            <w:fldChar w:fldCharType="end"/>
          </w:r>
        </w:p>
        <w:p w14:paraId="38D94E5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_Toc25192 </w:instrText>
          </w:r>
          <w:r>
            <w:rPr>
              <w:rFonts w:hint="default"/>
            </w:rPr>
            <w:fldChar w:fldCharType="separate"/>
          </w:r>
          <w:r>
            <w:rPr>
              <w:rFonts w:hint="default"/>
            </w:rPr>
            <w:t>4.4.</w:t>
          </w:r>
          <w:r>
            <w:rPr>
              <w:rFonts w:hint="default"/>
              <w:lang w:val="en-US" w:eastAsia="zh-CN"/>
            </w:rPr>
            <w:t>4</w:t>
          </w:r>
          <w:r>
            <w:rPr>
              <w:rFonts w:hint="default"/>
            </w:rPr>
            <w:t xml:space="preserve"> 预警行动</w:t>
          </w:r>
          <w:r>
            <w:tab/>
          </w:r>
          <w:r>
            <w:fldChar w:fldCharType="begin"/>
          </w:r>
          <w:r>
            <w:instrText xml:space="preserve"> PAGEREF _Toc25192 \h </w:instrText>
          </w:r>
          <w:r>
            <w:fldChar w:fldCharType="separate"/>
          </w:r>
          <w:r>
            <w:t>33</w:t>
          </w:r>
          <w:r>
            <w:fldChar w:fldCharType="end"/>
          </w:r>
          <w:r>
            <w:rPr>
              <w:rFonts w:hint="default"/>
            </w:rPr>
            <w:fldChar w:fldCharType="end"/>
          </w:r>
        </w:p>
        <w:p w14:paraId="04D3145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_Toc21525 </w:instrText>
          </w:r>
          <w:r>
            <w:rPr>
              <w:rFonts w:hint="default"/>
            </w:rPr>
            <w:fldChar w:fldCharType="separate"/>
          </w:r>
          <w:r>
            <w:rPr>
              <w:rFonts w:hint="default"/>
              <w:lang w:val="en-US" w:eastAsia="zh-CN"/>
            </w:rPr>
            <w:t>4.5 预警解除</w:t>
          </w:r>
          <w:r>
            <w:tab/>
          </w:r>
          <w:r>
            <w:fldChar w:fldCharType="begin"/>
          </w:r>
          <w:r>
            <w:instrText xml:space="preserve"> PAGEREF _Toc21525 \h </w:instrText>
          </w:r>
          <w:r>
            <w:fldChar w:fldCharType="separate"/>
          </w:r>
          <w:r>
            <w:t>34</w:t>
          </w:r>
          <w:r>
            <w:fldChar w:fldCharType="end"/>
          </w:r>
          <w:r>
            <w:rPr>
              <w:rFonts w:hint="default"/>
            </w:rPr>
            <w:fldChar w:fldCharType="end"/>
          </w:r>
        </w:p>
        <w:p w14:paraId="0D48243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_Toc31397 </w:instrText>
          </w:r>
          <w:r>
            <w:rPr>
              <w:rFonts w:hint="default"/>
            </w:rPr>
            <w:fldChar w:fldCharType="separate"/>
          </w:r>
          <w:r>
            <w:rPr>
              <w:rFonts w:hint="default"/>
              <w:lang w:val="en-US" w:eastAsia="zh-CN"/>
            </w:rPr>
            <w:t>4.6 信息报告与通报</w:t>
          </w:r>
          <w:r>
            <w:tab/>
          </w:r>
          <w:r>
            <w:fldChar w:fldCharType="begin"/>
          </w:r>
          <w:r>
            <w:instrText xml:space="preserve"> PAGEREF _Toc31397 \h </w:instrText>
          </w:r>
          <w:r>
            <w:fldChar w:fldCharType="separate"/>
          </w:r>
          <w:r>
            <w:t>35</w:t>
          </w:r>
          <w:r>
            <w:fldChar w:fldCharType="end"/>
          </w:r>
          <w:r>
            <w:rPr>
              <w:rFonts w:hint="default"/>
            </w:rPr>
            <w:fldChar w:fldCharType="end"/>
          </w:r>
        </w:p>
        <w:p w14:paraId="1EBA5EF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_Toc22368 </w:instrText>
          </w:r>
          <w:r>
            <w:rPr>
              <w:rFonts w:hint="default"/>
            </w:rPr>
            <w:fldChar w:fldCharType="separate"/>
          </w:r>
          <w:r>
            <w:rPr>
              <w:rFonts w:hint="default"/>
            </w:rPr>
            <w:t>4.</w:t>
          </w:r>
          <w:r>
            <w:rPr>
              <w:rFonts w:hint="default"/>
              <w:lang w:val="en-US" w:eastAsia="zh-CN"/>
            </w:rPr>
            <w:t>6</w:t>
          </w:r>
          <w:r>
            <w:rPr>
              <w:rFonts w:hint="default"/>
            </w:rPr>
            <w:t>.1 信息报告程序</w:t>
          </w:r>
          <w:r>
            <w:tab/>
          </w:r>
          <w:r>
            <w:fldChar w:fldCharType="begin"/>
          </w:r>
          <w:r>
            <w:instrText xml:space="preserve"> PAGEREF _Toc22368 \h </w:instrText>
          </w:r>
          <w:r>
            <w:fldChar w:fldCharType="separate"/>
          </w:r>
          <w:r>
            <w:t>35</w:t>
          </w:r>
          <w:r>
            <w:fldChar w:fldCharType="end"/>
          </w:r>
          <w:r>
            <w:rPr>
              <w:rFonts w:hint="default"/>
            </w:rPr>
            <w:fldChar w:fldCharType="end"/>
          </w:r>
        </w:p>
        <w:p w14:paraId="094AD9E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_Toc18015 </w:instrText>
          </w:r>
          <w:r>
            <w:rPr>
              <w:rFonts w:hint="default"/>
            </w:rPr>
            <w:fldChar w:fldCharType="separate"/>
          </w:r>
          <w:r>
            <w:rPr>
              <w:rFonts w:hint="default"/>
              <w:lang w:val="en-US" w:eastAsia="zh-CN"/>
            </w:rPr>
            <w:t>4.6.2 信息通报程序</w:t>
          </w:r>
          <w:r>
            <w:tab/>
          </w:r>
          <w:r>
            <w:fldChar w:fldCharType="begin"/>
          </w:r>
          <w:r>
            <w:instrText xml:space="preserve"> PAGEREF _Toc18015 \h </w:instrText>
          </w:r>
          <w:r>
            <w:fldChar w:fldCharType="separate"/>
          </w:r>
          <w:r>
            <w:t>35</w:t>
          </w:r>
          <w:r>
            <w:fldChar w:fldCharType="end"/>
          </w:r>
          <w:r>
            <w:rPr>
              <w:rFonts w:hint="default"/>
            </w:rPr>
            <w:fldChar w:fldCharType="end"/>
          </w:r>
        </w:p>
        <w:p w14:paraId="2EE5968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_Toc18051 </w:instrText>
          </w:r>
          <w:r>
            <w:rPr>
              <w:rFonts w:hint="default"/>
            </w:rPr>
            <w:fldChar w:fldCharType="separate"/>
          </w:r>
          <w:r>
            <w:rPr>
              <w:rFonts w:hint="default"/>
            </w:rPr>
            <w:t>4.</w:t>
          </w:r>
          <w:r>
            <w:rPr>
              <w:rFonts w:hint="default"/>
              <w:lang w:val="en-US" w:eastAsia="zh-CN"/>
            </w:rPr>
            <w:t>6</w:t>
          </w:r>
          <w:r>
            <w:rPr>
              <w:rFonts w:hint="default"/>
            </w:rPr>
            <w:t>.3 信息报告和通报内容</w:t>
          </w:r>
          <w:r>
            <w:tab/>
          </w:r>
          <w:r>
            <w:fldChar w:fldCharType="begin"/>
          </w:r>
          <w:r>
            <w:instrText xml:space="preserve"> PAGEREF _Toc18051 \h </w:instrText>
          </w:r>
          <w:r>
            <w:fldChar w:fldCharType="separate"/>
          </w:r>
          <w:r>
            <w:t>36</w:t>
          </w:r>
          <w:r>
            <w:fldChar w:fldCharType="end"/>
          </w:r>
          <w:r>
            <w:rPr>
              <w:rFonts w:hint="default"/>
            </w:rPr>
            <w:fldChar w:fldCharType="end"/>
          </w:r>
        </w:p>
        <w:p w14:paraId="206F773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_Toc2208 </w:instrText>
          </w:r>
          <w:r>
            <w:rPr>
              <w:rFonts w:hint="default"/>
            </w:rPr>
            <w:fldChar w:fldCharType="separate"/>
          </w:r>
          <w:r>
            <w:rPr>
              <w:rFonts w:hint="default"/>
              <w:lang w:val="en-US" w:eastAsia="zh-CN"/>
            </w:rPr>
            <w:t>4.7应急监测</w:t>
          </w:r>
          <w:r>
            <w:tab/>
          </w:r>
          <w:r>
            <w:fldChar w:fldCharType="begin"/>
          </w:r>
          <w:r>
            <w:instrText xml:space="preserve"> PAGEREF _Toc2208 \h </w:instrText>
          </w:r>
          <w:r>
            <w:fldChar w:fldCharType="separate"/>
          </w:r>
          <w:r>
            <w:t>36</w:t>
          </w:r>
          <w:r>
            <w:fldChar w:fldCharType="end"/>
          </w:r>
          <w:r>
            <w:rPr>
              <w:rFonts w:hint="default"/>
            </w:rPr>
            <w:fldChar w:fldCharType="end"/>
          </w:r>
        </w:p>
        <w:p w14:paraId="390CF53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_Toc15577 </w:instrText>
          </w:r>
          <w:r>
            <w:rPr>
              <w:rFonts w:hint="default"/>
            </w:rPr>
            <w:fldChar w:fldCharType="separate"/>
          </w:r>
          <w:r>
            <w:rPr>
              <w:rFonts w:hint="default"/>
              <w:lang w:val="en-US" w:eastAsia="zh-CN"/>
            </w:rPr>
            <w:t>4.7.1</w:t>
          </w:r>
          <w:r>
            <w:rPr>
              <w:rFonts w:hint="default"/>
            </w:rPr>
            <w:t>开展应急监测程序</w:t>
          </w:r>
          <w:r>
            <w:tab/>
          </w:r>
          <w:r>
            <w:fldChar w:fldCharType="begin"/>
          </w:r>
          <w:r>
            <w:instrText xml:space="preserve"> PAGEREF _Toc15577 \h </w:instrText>
          </w:r>
          <w:r>
            <w:fldChar w:fldCharType="separate"/>
          </w:r>
          <w:r>
            <w:t>36</w:t>
          </w:r>
          <w:r>
            <w:fldChar w:fldCharType="end"/>
          </w:r>
          <w:r>
            <w:rPr>
              <w:rFonts w:hint="default"/>
            </w:rPr>
            <w:fldChar w:fldCharType="end"/>
          </w:r>
        </w:p>
        <w:p w14:paraId="500AE46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_Toc10735 </w:instrText>
          </w:r>
          <w:r>
            <w:rPr>
              <w:rFonts w:hint="default"/>
            </w:rPr>
            <w:fldChar w:fldCharType="separate"/>
          </w:r>
          <w:r>
            <w:rPr>
              <w:rFonts w:hint="default"/>
              <w:lang w:val="en-US" w:eastAsia="zh-CN"/>
            </w:rPr>
            <w:t>4.7.2制定应急监测方案</w:t>
          </w:r>
          <w:r>
            <w:tab/>
          </w:r>
          <w:r>
            <w:fldChar w:fldCharType="begin"/>
          </w:r>
          <w:r>
            <w:instrText xml:space="preserve"> PAGEREF _Toc10735 \h </w:instrText>
          </w:r>
          <w:r>
            <w:fldChar w:fldCharType="separate"/>
          </w:r>
          <w:r>
            <w:t>37</w:t>
          </w:r>
          <w:r>
            <w:fldChar w:fldCharType="end"/>
          </w:r>
          <w:r>
            <w:rPr>
              <w:rFonts w:hint="default"/>
            </w:rPr>
            <w:fldChar w:fldCharType="end"/>
          </w:r>
        </w:p>
        <w:p w14:paraId="18B13A6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_Toc6427 </w:instrText>
          </w:r>
          <w:r>
            <w:rPr>
              <w:rFonts w:hint="default"/>
            </w:rPr>
            <w:fldChar w:fldCharType="separate"/>
          </w:r>
          <w:r>
            <w:rPr>
              <w:rFonts w:hint="default"/>
              <w:lang w:val="en-US" w:eastAsia="zh-CN"/>
            </w:rPr>
            <w:t>4.8 溯源分析</w:t>
          </w:r>
          <w:r>
            <w:tab/>
          </w:r>
          <w:r>
            <w:fldChar w:fldCharType="begin"/>
          </w:r>
          <w:r>
            <w:instrText xml:space="preserve"> PAGEREF _Toc6427 \h </w:instrText>
          </w:r>
          <w:r>
            <w:fldChar w:fldCharType="separate"/>
          </w:r>
          <w:r>
            <w:t>38</w:t>
          </w:r>
          <w:r>
            <w:fldChar w:fldCharType="end"/>
          </w:r>
          <w:r>
            <w:rPr>
              <w:rFonts w:hint="default"/>
            </w:rPr>
            <w:fldChar w:fldCharType="end"/>
          </w:r>
        </w:p>
        <w:p w14:paraId="3E5B672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_Toc27968 </w:instrText>
          </w:r>
          <w:r>
            <w:rPr>
              <w:rFonts w:hint="default"/>
            </w:rPr>
            <w:fldChar w:fldCharType="separate"/>
          </w:r>
          <w:r>
            <w:rPr>
              <w:rFonts w:hint="default"/>
              <w:lang w:val="en-US" w:eastAsia="zh-CN"/>
            </w:rPr>
            <w:t>4.9先期处置</w:t>
          </w:r>
          <w:r>
            <w:tab/>
          </w:r>
          <w:r>
            <w:fldChar w:fldCharType="begin"/>
          </w:r>
          <w:r>
            <w:instrText xml:space="preserve"> PAGEREF _Toc27968 \h </w:instrText>
          </w:r>
          <w:r>
            <w:fldChar w:fldCharType="separate"/>
          </w:r>
          <w:r>
            <w:t>39</w:t>
          </w:r>
          <w:r>
            <w:fldChar w:fldCharType="end"/>
          </w:r>
          <w:r>
            <w:rPr>
              <w:rFonts w:hint="default"/>
            </w:rPr>
            <w:fldChar w:fldCharType="end"/>
          </w:r>
        </w:p>
        <w:p w14:paraId="79DBA10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_Toc32001 </w:instrText>
          </w:r>
          <w:r>
            <w:rPr>
              <w:rFonts w:hint="default"/>
            </w:rPr>
            <w:fldChar w:fldCharType="separate"/>
          </w:r>
          <w:r>
            <w:rPr>
              <w:rFonts w:hint="default"/>
              <w:lang w:val="en-US" w:eastAsia="zh-CN"/>
            </w:rPr>
            <w:t>4.10 物资调集及应急设施启用</w:t>
          </w:r>
          <w:r>
            <w:tab/>
          </w:r>
          <w:r>
            <w:fldChar w:fldCharType="begin"/>
          </w:r>
          <w:r>
            <w:instrText xml:space="preserve"> PAGEREF _Toc32001 \h </w:instrText>
          </w:r>
          <w:r>
            <w:fldChar w:fldCharType="separate"/>
          </w:r>
          <w:r>
            <w:t>40</w:t>
          </w:r>
          <w:r>
            <w:fldChar w:fldCharType="end"/>
          </w:r>
          <w:r>
            <w:rPr>
              <w:rFonts w:hint="default"/>
            </w:rPr>
            <w:fldChar w:fldCharType="end"/>
          </w:r>
        </w:p>
        <w:p w14:paraId="54F2518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_Toc5534 </w:instrText>
          </w:r>
          <w:r>
            <w:rPr>
              <w:rFonts w:hint="default"/>
            </w:rPr>
            <w:fldChar w:fldCharType="separate"/>
          </w:r>
          <w:r>
            <w:rPr>
              <w:rFonts w:hint="default"/>
              <w:lang w:val="en-US" w:eastAsia="zh-CN"/>
            </w:rPr>
            <w:t>4.11 应急处置</w:t>
          </w:r>
          <w:r>
            <w:tab/>
          </w:r>
          <w:r>
            <w:fldChar w:fldCharType="begin"/>
          </w:r>
          <w:r>
            <w:instrText xml:space="preserve"> PAGEREF _Toc5534 \h </w:instrText>
          </w:r>
          <w:r>
            <w:fldChar w:fldCharType="separate"/>
          </w:r>
          <w:r>
            <w:t>41</w:t>
          </w:r>
          <w:r>
            <w:fldChar w:fldCharType="end"/>
          </w:r>
          <w:r>
            <w:rPr>
              <w:rFonts w:hint="default"/>
            </w:rPr>
            <w:fldChar w:fldCharType="end"/>
          </w:r>
        </w:p>
        <w:p w14:paraId="28C8660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_Toc28379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r>
            <w:tab/>
          </w:r>
          <w:r>
            <w:fldChar w:fldCharType="begin"/>
          </w:r>
          <w:r>
            <w:instrText xml:space="preserve"> PAGEREF _Toc28379 \h </w:instrText>
          </w:r>
          <w:r>
            <w:fldChar w:fldCharType="separate"/>
          </w:r>
          <w:r>
            <w:t>41</w:t>
          </w:r>
          <w:r>
            <w:fldChar w:fldCharType="end"/>
          </w:r>
          <w:r>
            <w:rPr>
              <w:rFonts w:hint="default"/>
            </w:rPr>
            <w:fldChar w:fldCharType="end"/>
          </w:r>
        </w:p>
        <w:p w14:paraId="79AC405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_Toc18907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r>
            <w:tab/>
          </w:r>
          <w:r>
            <w:fldChar w:fldCharType="begin"/>
          </w:r>
          <w:r>
            <w:instrText xml:space="preserve"> PAGEREF _Toc18907 \h </w:instrText>
          </w:r>
          <w:r>
            <w:fldChar w:fldCharType="separate"/>
          </w:r>
          <w:r>
            <w:t>41</w:t>
          </w:r>
          <w:r>
            <w:fldChar w:fldCharType="end"/>
          </w:r>
          <w:r>
            <w:rPr>
              <w:rFonts w:hint="default"/>
            </w:rPr>
            <w:fldChar w:fldCharType="end"/>
          </w:r>
        </w:p>
        <w:p w14:paraId="6386D3B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_Toc21736 </w:instrText>
          </w:r>
          <w:r>
            <w:rPr>
              <w:rFonts w:hint="default"/>
            </w:rPr>
            <w:fldChar w:fldCharType="separate"/>
          </w:r>
          <w:r>
            <w:rPr>
              <w:rFonts w:hint="default"/>
              <w:lang w:val="en-US" w:eastAsia="zh-CN"/>
            </w:rPr>
            <w:t>4.12 信息公开与发布</w:t>
          </w:r>
          <w:r>
            <w:tab/>
          </w:r>
          <w:r>
            <w:fldChar w:fldCharType="begin"/>
          </w:r>
          <w:r>
            <w:instrText xml:space="preserve"> PAGEREF _Toc21736 \h </w:instrText>
          </w:r>
          <w:r>
            <w:fldChar w:fldCharType="separate"/>
          </w:r>
          <w:r>
            <w:t>44</w:t>
          </w:r>
          <w:r>
            <w:fldChar w:fldCharType="end"/>
          </w:r>
          <w:r>
            <w:rPr>
              <w:rFonts w:hint="default"/>
            </w:rPr>
            <w:fldChar w:fldCharType="end"/>
          </w:r>
        </w:p>
        <w:p w14:paraId="18F4EA9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_Toc12041 </w:instrText>
          </w:r>
          <w:r>
            <w:rPr>
              <w:rFonts w:hint="default"/>
            </w:rPr>
            <w:fldChar w:fldCharType="separate"/>
          </w:r>
          <w:r>
            <w:rPr>
              <w:rFonts w:hint="default"/>
              <w:lang w:val="en-US" w:eastAsia="zh-CN"/>
            </w:rPr>
            <w:t>4.12.1舆情监测</w:t>
          </w:r>
          <w:r>
            <w:tab/>
          </w:r>
          <w:r>
            <w:fldChar w:fldCharType="begin"/>
          </w:r>
          <w:r>
            <w:instrText xml:space="preserve"> PAGEREF _Toc12041 \h </w:instrText>
          </w:r>
          <w:r>
            <w:fldChar w:fldCharType="separate"/>
          </w:r>
          <w:r>
            <w:t>44</w:t>
          </w:r>
          <w:r>
            <w:fldChar w:fldCharType="end"/>
          </w:r>
          <w:r>
            <w:rPr>
              <w:rFonts w:hint="default"/>
            </w:rPr>
            <w:fldChar w:fldCharType="end"/>
          </w:r>
        </w:p>
        <w:p w14:paraId="33C03B1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_Toc122 </w:instrText>
          </w:r>
          <w:r>
            <w:rPr>
              <w:rFonts w:hint="default"/>
            </w:rPr>
            <w:fldChar w:fldCharType="separate"/>
          </w:r>
          <w:r>
            <w:rPr>
              <w:rFonts w:hint="default"/>
              <w:lang w:val="en-US" w:eastAsia="zh-CN"/>
            </w:rPr>
            <w:t>4.12.2公开方式</w:t>
          </w:r>
          <w:r>
            <w:tab/>
          </w:r>
          <w:r>
            <w:fldChar w:fldCharType="begin"/>
          </w:r>
          <w:r>
            <w:instrText xml:space="preserve"> PAGEREF _Toc122 \h </w:instrText>
          </w:r>
          <w:r>
            <w:fldChar w:fldCharType="separate"/>
          </w:r>
          <w:r>
            <w:t>44</w:t>
          </w:r>
          <w:r>
            <w:fldChar w:fldCharType="end"/>
          </w:r>
          <w:r>
            <w:rPr>
              <w:rFonts w:hint="default"/>
            </w:rPr>
            <w:fldChar w:fldCharType="end"/>
          </w:r>
        </w:p>
        <w:p w14:paraId="0EC3BF9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_Toc14229 </w:instrText>
          </w:r>
          <w:r>
            <w:rPr>
              <w:rFonts w:hint="default"/>
            </w:rPr>
            <w:fldChar w:fldCharType="separate"/>
          </w:r>
          <w:r>
            <w:rPr>
              <w:rFonts w:hint="default"/>
              <w:lang w:val="en-US" w:eastAsia="zh-CN"/>
            </w:rPr>
            <w:t>4.12.3发布的主要内容</w:t>
          </w:r>
          <w:r>
            <w:tab/>
          </w:r>
          <w:r>
            <w:fldChar w:fldCharType="begin"/>
          </w:r>
          <w:r>
            <w:instrText xml:space="preserve"> PAGEREF _Toc14229 \h </w:instrText>
          </w:r>
          <w:r>
            <w:fldChar w:fldCharType="separate"/>
          </w:r>
          <w:r>
            <w:t>44</w:t>
          </w:r>
          <w:r>
            <w:fldChar w:fldCharType="end"/>
          </w:r>
          <w:r>
            <w:rPr>
              <w:rFonts w:hint="default"/>
            </w:rPr>
            <w:fldChar w:fldCharType="end"/>
          </w:r>
        </w:p>
        <w:p w14:paraId="03B62B4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_Toc28458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响应终止</w:t>
          </w:r>
          <w:r>
            <w:tab/>
          </w:r>
          <w:r>
            <w:fldChar w:fldCharType="begin"/>
          </w:r>
          <w:r>
            <w:instrText xml:space="preserve"> PAGEREF _Toc28458 \h </w:instrText>
          </w:r>
          <w:r>
            <w:fldChar w:fldCharType="separate"/>
          </w:r>
          <w:r>
            <w:t>45</w:t>
          </w:r>
          <w:r>
            <w:fldChar w:fldCharType="end"/>
          </w:r>
          <w:r>
            <w:rPr>
              <w:rFonts w:hint="default"/>
            </w:rPr>
            <w:fldChar w:fldCharType="end"/>
          </w:r>
        </w:p>
        <w:p w14:paraId="75528126">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_Toc21545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.1 应急响应终止条件</w:t>
          </w:r>
          <w:r>
            <w:tab/>
          </w:r>
          <w:r>
            <w:fldChar w:fldCharType="begin"/>
          </w:r>
          <w:r>
            <w:instrText xml:space="preserve"> PAGEREF _Toc21545 \h </w:instrText>
          </w:r>
          <w:r>
            <w:fldChar w:fldCharType="separate"/>
          </w:r>
          <w:r>
            <w:t>45</w:t>
          </w:r>
          <w:r>
            <w:fldChar w:fldCharType="end"/>
          </w:r>
          <w:r>
            <w:rPr>
              <w:rFonts w:hint="default"/>
            </w:rPr>
            <w:fldChar w:fldCharType="end"/>
          </w:r>
        </w:p>
        <w:p w14:paraId="1839AE9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_Toc23201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.2 应急响应终止程序</w:t>
          </w:r>
          <w:r>
            <w:tab/>
          </w:r>
          <w:r>
            <w:fldChar w:fldCharType="begin"/>
          </w:r>
          <w:r>
            <w:instrText xml:space="preserve"> PAGEREF _Toc23201 \h </w:instrText>
          </w:r>
          <w:r>
            <w:fldChar w:fldCharType="separate"/>
          </w:r>
          <w:r>
            <w:t>45</w:t>
          </w:r>
          <w:r>
            <w:fldChar w:fldCharType="end"/>
          </w:r>
          <w:r>
            <w:rPr>
              <w:rFonts w:hint="default"/>
            </w:rPr>
            <w:fldChar w:fldCharType="end"/>
          </w:r>
        </w:p>
        <w:p w14:paraId="5F22270E">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_Toc23756 </w:instrText>
          </w:r>
          <w:r>
            <w:rPr>
              <w:rFonts w:hint="default"/>
            </w:rPr>
            <w:fldChar w:fldCharType="separate"/>
          </w:r>
          <w:r>
            <w:rPr>
              <w:rFonts w:hint="default"/>
            </w:rPr>
            <w:t>第五章</w:t>
          </w:r>
          <w:r>
            <w:rPr>
              <w:rFonts w:hint="default"/>
              <w:lang w:val="en-US" w:eastAsia="zh-CN"/>
            </w:rPr>
            <w:t xml:space="preserve"> </w:t>
          </w:r>
          <w:r>
            <w:rPr>
              <w:rFonts w:hint="default"/>
            </w:rPr>
            <w:t>后期工作</w:t>
          </w:r>
          <w:r>
            <w:tab/>
          </w:r>
          <w:r>
            <w:fldChar w:fldCharType="begin"/>
          </w:r>
          <w:r>
            <w:instrText xml:space="preserve"> PAGEREF _Toc23756 \h </w:instrText>
          </w:r>
          <w:r>
            <w:fldChar w:fldCharType="separate"/>
          </w:r>
          <w:r>
            <w:t>46</w:t>
          </w:r>
          <w:r>
            <w:fldChar w:fldCharType="end"/>
          </w:r>
          <w:r>
            <w:rPr>
              <w:rFonts w:hint="default"/>
            </w:rPr>
            <w:fldChar w:fldCharType="end"/>
          </w:r>
        </w:p>
        <w:p w14:paraId="506F1FC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_Toc13255 </w:instrText>
          </w:r>
          <w:r>
            <w:rPr>
              <w:rFonts w:hint="default"/>
            </w:rPr>
            <w:fldChar w:fldCharType="separate"/>
          </w:r>
          <w:r>
            <w:rPr>
              <w:rFonts w:hint="default"/>
              <w:lang w:val="en-US" w:eastAsia="zh-CN"/>
            </w:rPr>
            <w:t>5.1后期防控</w:t>
          </w:r>
          <w:r>
            <w:tab/>
          </w:r>
          <w:r>
            <w:fldChar w:fldCharType="begin"/>
          </w:r>
          <w:r>
            <w:instrText xml:space="preserve"> PAGEREF _Toc13255 \h </w:instrText>
          </w:r>
          <w:r>
            <w:fldChar w:fldCharType="separate"/>
          </w:r>
          <w:r>
            <w:t>46</w:t>
          </w:r>
          <w:r>
            <w:fldChar w:fldCharType="end"/>
          </w:r>
          <w:r>
            <w:rPr>
              <w:rFonts w:hint="default"/>
            </w:rPr>
            <w:fldChar w:fldCharType="end"/>
          </w:r>
        </w:p>
        <w:p w14:paraId="539EFF0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_Toc31702 </w:instrText>
          </w:r>
          <w:r>
            <w:rPr>
              <w:rFonts w:hint="default"/>
            </w:rPr>
            <w:fldChar w:fldCharType="separate"/>
          </w:r>
          <w:r>
            <w:rPr>
              <w:rFonts w:hint="default"/>
              <w:lang w:val="en-US" w:eastAsia="zh-CN"/>
            </w:rPr>
            <w:t>5.2事件调查</w:t>
          </w:r>
          <w:r>
            <w:tab/>
          </w:r>
          <w:r>
            <w:fldChar w:fldCharType="begin"/>
          </w:r>
          <w:r>
            <w:instrText xml:space="preserve"> PAGEREF _Toc31702 \h </w:instrText>
          </w:r>
          <w:r>
            <w:fldChar w:fldCharType="separate"/>
          </w:r>
          <w:r>
            <w:t>46</w:t>
          </w:r>
          <w:r>
            <w:fldChar w:fldCharType="end"/>
          </w:r>
          <w:r>
            <w:rPr>
              <w:rFonts w:hint="default"/>
            </w:rPr>
            <w:fldChar w:fldCharType="end"/>
          </w:r>
        </w:p>
        <w:p w14:paraId="711CF38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_Toc19544 </w:instrText>
          </w:r>
          <w:r>
            <w:rPr>
              <w:rFonts w:hint="default"/>
            </w:rPr>
            <w:fldChar w:fldCharType="separate"/>
          </w:r>
          <w:r>
            <w:rPr>
              <w:rFonts w:hint="default"/>
              <w:lang w:val="en-US" w:eastAsia="zh-CN"/>
            </w:rPr>
            <w:t>5.3 损害评估</w:t>
          </w:r>
          <w:r>
            <w:tab/>
          </w:r>
          <w:r>
            <w:fldChar w:fldCharType="begin"/>
          </w:r>
          <w:r>
            <w:instrText xml:space="preserve"> PAGEREF _Toc19544 \h </w:instrText>
          </w:r>
          <w:r>
            <w:fldChar w:fldCharType="separate"/>
          </w:r>
          <w:r>
            <w:t>47</w:t>
          </w:r>
          <w:r>
            <w:fldChar w:fldCharType="end"/>
          </w:r>
          <w:r>
            <w:rPr>
              <w:rFonts w:hint="default"/>
            </w:rPr>
            <w:fldChar w:fldCharType="end"/>
          </w:r>
        </w:p>
        <w:p w14:paraId="4F71A9D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_Toc29107 </w:instrText>
          </w:r>
          <w:r>
            <w:rPr>
              <w:rFonts w:hint="default"/>
            </w:rPr>
            <w:fldChar w:fldCharType="separate"/>
          </w:r>
          <w:r>
            <w:rPr>
              <w:rFonts w:hint="default"/>
              <w:lang w:val="en-US" w:eastAsia="zh-CN"/>
            </w:rPr>
            <w:t>5.4 善后处置</w:t>
          </w:r>
          <w:r>
            <w:tab/>
          </w:r>
          <w:r>
            <w:fldChar w:fldCharType="begin"/>
          </w:r>
          <w:r>
            <w:instrText xml:space="preserve"> PAGEREF _Toc29107 \h </w:instrText>
          </w:r>
          <w:r>
            <w:fldChar w:fldCharType="separate"/>
          </w:r>
          <w:r>
            <w:t>47</w:t>
          </w:r>
          <w:r>
            <w:fldChar w:fldCharType="end"/>
          </w:r>
          <w:r>
            <w:rPr>
              <w:rFonts w:hint="default"/>
            </w:rPr>
            <w:fldChar w:fldCharType="end"/>
          </w:r>
        </w:p>
        <w:p w14:paraId="24450B4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_Toc18990 </w:instrText>
          </w:r>
          <w:r>
            <w:rPr>
              <w:rFonts w:hint="default"/>
            </w:rPr>
            <w:fldChar w:fldCharType="separate"/>
          </w:r>
          <w:r>
            <w:rPr>
              <w:rFonts w:hint="default"/>
              <w:lang w:val="en-US" w:eastAsia="zh-CN"/>
            </w:rPr>
            <w:t>5.4.1 损害赔偿</w:t>
          </w:r>
          <w:r>
            <w:tab/>
          </w:r>
          <w:r>
            <w:fldChar w:fldCharType="begin"/>
          </w:r>
          <w:r>
            <w:instrText xml:space="preserve"> PAGEREF _Toc18990 \h </w:instrText>
          </w:r>
          <w:r>
            <w:fldChar w:fldCharType="separate"/>
          </w:r>
          <w:r>
            <w:t>48</w:t>
          </w:r>
          <w:r>
            <w:fldChar w:fldCharType="end"/>
          </w:r>
          <w:r>
            <w:rPr>
              <w:rFonts w:hint="default"/>
            </w:rPr>
            <w:fldChar w:fldCharType="end"/>
          </w:r>
        </w:p>
        <w:p w14:paraId="3DBAB04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_Toc32649 </w:instrText>
          </w:r>
          <w:r>
            <w:rPr>
              <w:rFonts w:hint="default"/>
            </w:rPr>
            <w:fldChar w:fldCharType="separate"/>
          </w:r>
          <w:r>
            <w:rPr>
              <w:rFonts w:hint="default"/>
              <w:lang w:val="en-US" w:eastAsia="zh-CN"/>
            </w:rPr>
            <w:t>5.4.2 风险源整改</w:t>
          </w:r>
          <w:r>
            <w:tab/>
          </w:r>
          <w:r>
            <w:fldChar w:fldCharType="begin"/>
          </w:r>
          <w:r>
            <w:instrText xml:space="preserve"> PAGEREF _Toc32649 \h </w:instrText>
          </w:r>
          <w:r>
            <w:fldChar w:fldCharType="separate"/>
          </w:r>
          <w:r>
            <w:t>48</w:t>
          </w:r>
          <w:r>
            <w:fldChar w:fldCharType="end"/>
          </w:r>
          <w:r>
            <w:rPr>
              <w:rFonts w:hint="default"/>
            </w:rPr>
            <w:fldChar w:fldCharType="end"/>
          </w:r>
        </w:p>
        <w:p w14:paraId="5BF38CC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_Toc6591 </w:instrText>
          </w:r>
          <w:r>
            <w:rPr>
              <w:rFonts w:hint="default"/>
            </w:rPr>
            <w:fldChar w:fldCharType="separate"/>
          </w:r>
          <w:r>
            <w:rPr>
              <w:rFonts w:hint="default"/>
            </w:rPr>
            <w:t>第六章</w:t>
          </w:r>
          <w:r>
            <w:rPr>
              <w:rFonts w:hint="default"/>
              <w:lang w:val="en-US" w:eastAsia="zh-CN"/>
            </w:rPr>
            <w:t xml:space="preserve"> </w:t>
          </w:r>
          <w:r>
            <w:rPr>
              <w:rFonts w:hint="default"/>
            </w:rPr>
            <w:t>应急保障</w:t>
          </w:r>
          <w:r>
            <w:tab/>
          </w:r>
          <w:r>
            <w:fldChar w:fldCharType="begin"/>
          </w:r>
          <w:r>
            <w:instrText xml:space="preserve"> PAGEREF _Toc6591 \h </w:instrText>
          </w:r>
          <w:r>
            <w:fldChar w:fldCharType="separate"/>
          </w:r>
          <w:r>
            <w:t>49</w:t>
          </w:r>
          <w:r>
            <w:fldChar w:fldCharType="end"/>
          </w:r>
          <w:r>
            <w:rPr>
              <w:rFonts w:hint="default"/>
            </w:rPr>
            <w:fldChar w:fldCharType="end"/>
          </w:r>
        </w:p>
        <w:p w14:paraId="4422B27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_Toc30780 </w:instrText>
          </w:r>
          <w:r>
            <w:rPr>
              <w:rFonts w:hint="default"/>
            </w:rPr>
            <w:fldChar w:fldCharType="separate"/>
          </w:r>
          <w:r>
            <w:rPr>
              <w:rFonts w:hint="default"/>
              <w:lang w:val="en-US" w:eastAsia="zh-CN"/>
            </w:rPr>
            <w:t>6.1 通信与信息保障</w:t>
          </w:r>
          <w:r>
            <w:tab/>
          </w:r>
          <w:r>
            <w:fldChar w:fldCharType="begin"/>
          </w:r>
          <w:r>
            <w:instrText xml:space="preserve"> PAGEREF _Toc30780 \h </w:instrText>
          </w:r>
          <w:r>
            <w:fldChar w:fldCharType="separate"/>
          </w:r>
          <w:r>
            <w:t>49</w:t>
          </w:r>
          <w:r>
            <w:fldChar w:fldCharType="end"/>
          </w:r>
          <w:r>
            <w:rPr>
              <w:rFonts w:hint="default"/>
            </w:rPr>
            <w:fldChar w:fldCharType="end"/>
          </w:r>
        </w:p>
        <w:p w14:paraId="0E4DFB4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_Toc411 </w:instrText>
          </w:r>
          <w:r>
            <w:rPr>
              <w:rFonts w:hint="default"/>
            </w:rPr>
            <w:fldChar w:fldCharType="separate"/>
          </w:r>
          <w:r>
            <w:rPr>
              <w:rFonts w:hint="default"/>
              <w:lang w:val="en-US" w:eastAsia="zh-CN"/>
            </w:rPr>
            <w:t>6.2 应急队伍保障</w:t>
          </w:r>
          <w:r>
            <w:tab/>
          </w:r>
          <w:r>
            <w:fldChar w:fldCharType="begin"/>
          </w:r>
          <w:r>
            <w:instrText xml:space="preserve"> PAGEREF _Toc411 \h </w:instrText>
          </w:r>
          <w:r>
            <w:fldChar w:fldCharType="separate"/>
          </w:r>
          <w:r>
            <w:t>49</w:t>
          </w:r>
          <w:r>
            <w:fldChar w:fldCharType="end"/>
          </w:r>
          <w:r>
            <w:rPr>
              <w:rFonts w:hint="default"/>
            </w:rPr>
            <w:fldChar w:fldCharType="end"/>
          </w:r>
        </w:p>
        <w:p w14:paraId="79A19DD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_Toc12902 </w:instrText>
          </w:r>
          <w:r>
            <w:rPr>
              <w:rFonts w:hint="default"/>
            </w:rPr>
            <w:fldChar w:fldCharType="separate"/>
          </w:r>
          <w:r>
            <w:rPr>
              <w:rFonts w:hint="default"/>
              <w:lang w:val="en-US" w:eastAsia="zh-CN"/>
            </w:rPr>
            <w:t>6.3 应急资源保障</w:t>
          </w:r>
          <w:r>
            <w:tab/>
          </w:r>
          <w:r>
            <w:fldChar w:fldCharType="begin"/>
          </w:r>
          <w:r>
            <w:instrText xml:space="preserve"> PAGEREF _Toc12902 \h </w:instrText>
          </w:r>
          <w:r>
            <w:fldChar w:fldCharType="separate"/>
          </w:r>
          <w:r>
            <w:t>49</w:t>
          </w:r>
          <w:r>
            <w:fldChar w:fldCharType="end"/>
          </w:r>
          <w:r>
            <w:rPr>
              <w:rFonts w:hint="default"/>
            </w:rPr>
            <w:fldChar w:fldCharType="end"/>
          </w:r>
        </w:p>
        <w:p w14:paraId="24DFE9B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_Toc18174 </w:instrText>
          </w:r>
          <w:r>
            <w:rPr>
              <w:rFonts w:hint="default"/>
            </w:rPr>
            <w:fldChar w:fldCharType="separate"/>
          </w:r>
          <w:r>
            <w:rPr>
              <w:rFonts w:hint="default"/>
              <w:lang w:val="en-US" w:eastAsia="zh-CN"/>
            </w:rPr>
            <w:t>6.4 经费保障</w:t>
          </w:r>
          <w:r>
            <w:tab/>
          </w:r>
          <w:r>
            <w:fldChar w:fldCharType="begin"/>
          </w:r>
          <w:r>
            <w:instrText xml:space="preserve"> PAGEREF _Toc18174 \h </w:instrText>
          </w:r>
          <w:r>
            <w:fldChar w:fldCharType="separate"/>
          </w:r>
          <w:r>
            <w:t>50</w:t>
          </w:r>
          <w:r>
            <w:fldChar w:fldCharType="end"/>
          </w:r>
          <w:r>
            <w:rPr>
              <w:rFonts w:hint="default"/>
            </w:rPr>
            <w:fldChar w:fldCharType="end"/>
          </w:r>
        </w:p>
        <w:p w14:paraId="5126868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_Toc11068 </w:instrText>
          </w:r>
          <w:r>
            <w:rPr>
              <w:rFonts w:hint="default"/>
            </w:rPr>
            <w:fldChar w:fldCharType="separate"/>
          </w:r>
          <w:r>
            <w:rPr>
              <w:rFonts w:hint="default"/>
              <w:lang w:val="en-US" w:eastAsia="zh-CN"/>
            </w:rPr>
            <w:t>6.5 技术保障</w:t>
          </w:r>
          <w:r>
            <w:tab/>
          </w:r>
          <w:r>
            <w:fldChar w:fldCharType="begin"/>
          </w:r>
          <w:r>
            <w:instrText xml:space="preserve"> PAGEREF _Toc11068 \h </w:instrText>
          </w:r>
          <w:r>
            <w:fldChar w:fldCharType="separate"/>
          </w:r>
          <w:r>
            <w:t>50</w:t>
          </w:r>
          <w:r>
            <w:fldChar w:fldCharType="end"/>
          </w:r>
          <w:r>
            <w:rPr>
              <w:rFonts w:hint="default"/>
            </w:rPr>
            <w:fldChar w:fldCharType="end"/>
          </w:r>
        </w:p>
        <w:p w14:paraId="7880246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_Toc5027 </w:instrText>
          </w:r>
          <w:r>
            <w:rPr>
              <w:rFonts w:hint="default"/>
            </w:rPr>
            <w:fldChar w:fldCharType="separate"/>
          </w:r>
          <w:r>
            <w:rPr>
              <w:rFonts w:hint="default"/>
              <w:lang w:val="en-US" w:eastAsia="zh-CN"/>
            </w:rPr>
            <w:t>6.6 其它保障</w:t>
          </w:r>
          <w:r>
            <w:tab/>
          </w:r>
          <w:r>
            <w:fldChar w:fldCharType="begin"/>
          </w:r>
          <w:r>
            <w:instrText xml:space="preserve"> PAGEREF _Toc5027 \h </w:instrText>
          </w:r>
          <w:r>
            <w:fldChar w:fldCharType="separate"/>
          </w:r>
          <w:r>
            <w:t>50</w:t>
          </w:r>
          <w:r>
            <w:fldChar w:fldCharType="end"/>
          </w:r>
          <w:r>
            <w:rPr>
              <w:rFonts w:hint="default"/>
            </w:rPr>
            <w:fldChar w:fldCharType="end"/>
          </w:r>
        </w:p>
        <w:p w14:paraId="6DD27FA8">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_Toc27002 </w:instrText>
          </w:r>
          <w:r>
            <w:rPr>
              <w:rFonts w:hint="default"/>
            </w:rPr>
            <w:fldChar w:fldCharType="separate"/>
          </w:r>
          <w:r>
            <w:rPr>
              <w:rFonts w:hint="eastAsia" w:ascii="Times New Roman" w:hAnsi="Times New Roman" w:eastAsia="仿宋" w:cs="Times New Roman"/>
              <w:bCs/>
              <w:kern w:val="44"/>
              <w:szCs w:val="32"/>
              <w:highlight w:val="none"/>
              <w:lang w:val="en-US" w:eastAsia="zh-CN" w:bidi="ar"/>
            </w:rPr>
            <w:t>第七章 监督管理</w:t>
          </w:r>
          <w:r>
            <w:tab/>
          </w:r>
          <w:r>
            <w:fldChar w:fldCharType="begin"/>
          </w:r>
          <w:r>
            <w:instrText xml:space="preserve"> PAGEREF _Toc27002 \h </w:instrText>
          </w:r>
          <w:r>
            <w:fldChar w:fldCharType="separate"/>
          </w:r>
          <w:r>
            <w:t>52</w:t>
          </w:r>
          <w:r>
            <w:fldChar w:fldCharType="end"/>
          </w:r>
          <w:r>
            <w:rPr>
              <w:rFonts w:hint="default"/>
            </w:rPr>
            <w:fldChar w:fldCharType="end"/>
          </w:r>
        </w:p>
        <w:p w14:paraId="3889EB8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_Toc3966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7.1宣传与培训</w:t>
          </w:r>
          <w:r>
            <w:tab/>
          </w:r>
          <w:r>
            <w:fldChar w:fldCharType="begin"/>
          </w:r>
          <w:r>
            <w:instrText xml:space="preserve"> PAGEREF _Toc3966 \h </w:instrText>
          </w:r>
          <w:r>
            <w:fldChar w:fldCharType="separate"/>
          </w:r>
          <w:r>
            <w:t>52</w:t>
          </w:r>
          <w:r>
            <w:fldChar w:fldCharType="end"/>
          </w:r>
          <w:r>
            <w:rPr>
              <w:rFonts w:hint="default"/>
            </w:rPr>
            <w:fldChar w:fldCharType="end"/>
          </w:r>
        </w:p>
        <w:p w14:paraId="4E0682A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_Toc26826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7.2应急演练</w:t>
          </w:r>
          <w:r>
            <w:tab/>
          </w:r>
          <w:r>
            <w:fldChar w:fldCharType="begin"/>
          </w:r>
          <w:r>
            <w:instrText xml:space="preserve"> PAGEREF _Toc26826 \h </w:instrText>
          </w:r>
          <w:r>
            <w:fldChar w:fldCharType="separate"/>
          </w:r>
          <w:r>
            <w:t>52</w:t>
          </w:r>
          <w:r>
            <w:fldChar w:fldCharType="end"/>
          </w:r>
          <w:r>
            <w:rPr>
              <w:rFonts w:hint="default"/>
            </w:rPr>
            <w:fldChar w:fldCharType="end"/>
          </w:r>
        </w:p>
        <w:p w14:paraId="624EC74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_Toc29966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7.3奖惩</w:t>
          </w:r>
          <w:r>
            <w:tab/>
          </w:r>
          <w:r>
            <w:fldChar w:fldCharType="begin"/>
          </w:r>
          <w:r>
            <w:instrText xml:space="preserve"> PAGEREF _Toc29966 \h </w:instrText>
          </w:r>
          <w:r>
            <w:fldChar w:fldCharType="separate"/>
          </w:r>
          <w:r>
            <w:t>54</w:t>
          </w:r>
          <w:r>
            <w:fldChar w:fldCharType="end"/>
          </w:r>
          <w:r>
            <w:rPr>
              <w:rFonts w:hint="default"/>
            </w:rPr>
            <w:fldChar w:fldCharType="end"/>
          </w:r>
        </w:p>
        <w:p w14:paraId="1C411F7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_Toc22849 </w:instrText>
          </w:r>
          <w:r>
            <w:rPr>
              <w:rFonts w:hint="default"/>
            </w:rPr>
            <w:fldChar w:fldCharType="separate"/>
          </w:r>
          <w:r>
            <w:rPr>
              <w:rFonts w:hint="eastAsia" w:ascii="Times New Roman" w:hAnsi="Times New Roman" w:eastAsia="仿宋" w:cs="Times New Roman"/>
              <w:bCs/>
              <w:kern w:val="2"/>
              <w:szCs w:val="28"/>
              <w:highlight w:val="none"/>
              <w:lang w:val="en-US" w:eastAsia="zh-CN" w:bidi="ar-SA"/>
            </w:rPr>
            <w:t>7.3.1奖励</w:t>
          </w:r>
          <w:r>
            <w:tab/>
          </w:r>
          <w:r>
            <w:fldChar w:fldCharType="begin"/>
          </w:r>
          <w:r>
            <w:instrText xml:space="preserve"> PAGEREF _Toc22849 \h </w:instrText>
          </w:r>
          <w:r>
            <w:fldChar w:fldCharType="separate"/>
          </w:r>
          <w:r>
            <w:t>54</w:t>
          </w:r>
          <w:r>
            <w:fldChar w:fldCharType="end"/>
          </w:r>
          <w:r>
            <w:rPr>
              <w:rFonts w:hint="default"/>
            </w:rPr>
            <w:fldChar w:fldCharType="end"/>
          </w:r>
        </w:p>
        <w:p w14:paraId="0D869CC8">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_Toc23898 </w:instrText>
          </w:r>
          <w:r>
            <w:rPr>
              <w:rFonts w:hint="default"/>
            </w:rPr>
            <w:fldChar w:fldCharType="separate"/>
          </w:r>
          <w:r>
            <w:rPr>
              <w:rFonts w:hint="eastAsia" w:ascii="Times New Roman" w:hAnsi="Times New Roman" w:eastAsia="仿宋" w:cs="Times New Roman"/>
              <w:bCs/>
              <w:kern w:val="2"/>
              <w:szCs w:val="28"/>
              <w:highlight w:val="none"/>
              <w:lang w:val="en-US" w:eastAsia="zh-CN" w:bidi="ar-SA"/>
            </w:rPr>
            <w:t>7.3.2惩罚</w:t>
          </w:r>
          <w:r>
            <w:tab/>
          </w:r>
          <w:r>
            <w:fldChar w:fldCharType="begin"/>
          </w:r>
          <w:r>
            <w:instrText xml:space="preserve"> PAGEREF _Toc23898 \h </w:instrText>
          </w:r>
          <w:r>
            <w:fldChar w:fldCharType="separate"/>
          </w:r>
          <w:r>
            <w:t>54</w:t>
          </w:r>
          <w:r>
            <w:fldChar w:fldCharType="end"/>
          </w:r>
          <w:r>
            <w:rPr>
              <w:rFonts w:hint="default"/>
            </w:rPr>
            <w:fldChar w:fldCharType="end"/>
          </w:r>
        </w:p>
        <w:p w14:paraId="0BB50722">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_Toc7143 </w:instrText>
          </w:r>
          <w:r>
            <w:rPr>
              <w:rFonts w:hint="default"/>
            </w:rPr>
            <w:fldChar w:fldCharType="separate"/>
          </w:r>
          <w:r>
            <w:rPr>
              <w:rFonts w:hint="default"/>
            </w:rPr>
            <w:t>第</w:t>
          </w:r>
          <w:r>
            <w:rPr>
              <w:rFonts w:hint="eastAsia"/>
              <w:lang w:val="en-US" w:eastAsia="zh-CN"/>
            </w:rPr>
            <w:t>八</w:t>
          </w:r>
          <w:r>
            <w:rPr>
              <w:rFonts w:hint="default"/>
            </w:rPr>
            <w:t>章</w:t>
          </w:r>
          <w:r>
            <w:rPr>
              <w:rFonts w:hint="default"/>
              <w:lang w:val="en-US" w:eastAsia="zh-CN"/>
            </w:rPr>
            <w:t xml:space="preserve"> </w:t>
          </w:r>
          <w:r>
            <w:rPr>
              <w:rFonts w:hint="default"/>
            </w:rPr>
            <w:t>附则</w:t>
          </w:r>
          <w:r>
            <w:tab/>
          </w:r>
          <w:r>
            <w:fldChar w:fldCharType="begin"/>
          </w:r>
          <w:r>
            <w:instrText xml:space="preserve"> PAGEREF _Toc7143 \h </w:instrText>
          </w:r>
          <w:r>
            <w:fldChar w:fldCharType="separate"/>
          </w:r>
          <w:r>
            <w:t>55</w:t>
          </w:r>
          <w:r>
            <w:fldChar w:fldCharType="end"/>
          </w:r>
          <w:r>
            <w:rPr>
              <w:rFonts w:hint="default"/>
            </w:rPr>
            <w:fldChar w:fldCharType="end"/>
          </w:r>
        </w:p>
        <w:p w14:paraId="6B2DAB8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_Toc10468 </w:instrText>
          </w:r>
          <w:r>
            <w:rPr>
              <w:rFonts w:hint="default"/>
            </w:rPr>
            <w:fldChar w:fldCharType="separate"/>
          </w:r>
          <w:r>
            <w:rPr>
              <w:rFonts w:hint="eastAsia"/>
              <w:lang w:val="en-US" w:eastAsia="zh-CN"/>
            </w:rPr>
            <w:t>8</w:t>
          </w:r>
          <w:r>
            <w:rPr>
              <w:rFonts w:hint="default"/>
              <w:lang w:val="en-US" w:eastAsia="zh-CN"/>
            </w:rPr>
            <w:t>.1 名词术语</w:t>
          </w:r>
          <w:r>
            <w:tab/>
          </w:r>
          <w:r>
            <w:fldChar w:fldCharType="begin"/>
          </w:r>
          <w:r>
            <w:instrText xml:space="preserve"> PAGEREF _Toc10468 \h </w:instrText>
          </w:r>
          <w:r>
            <w:fldChar w:fldCharType="separate"/>
          </w:r>
          <w:r>
            <w:t>55</w:t>
          </w:r>
          <w:r>
            <w:fldChar w:fldCharType="end"/>
          </w:r>
          <w:r>
            <w:rPr>
              <w:rFonts w:hint="default"/>
            </w:rPr>
            <w:fldChar w:fldCharType="end"/>
          </w:r>
        </w:p>
        <w:p w14:paraId="26A6A10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_Toc27755 </w:instrText>
          </w:r>
          <w:r>
            <w:rPr>
              <w:rFonts w:hint="default"/>
            </w:rPr>
            <w:fldChar w:fldCharType="separate"/>
          </w:r>
          <w:r>
            <w:rPr>
              <w:rFonts w:hint="eastAsia"/>
              <w:lang w:val="en-US" w:eastAsia="zh-CN"/>
            </w:rPr>
            <w:t>8</w:t>
          </w:r>
          <w:r>
            <w:rPr>
              <w:rFonts w:hint="default"/>
              <w:lang w:val="en-US" w:eastAsia="zh-CN"/>
            </w:rPr>
            <w:t>.2预案制定和解释权属</w:t>
          </w:r>
          <w:r>
            <w:tab/>
          </w:r>
          <w:r>
            <w:fldChar w:fldCharType="begin"/>
          </w:r>
          <w:r>
            <w:instrText xml:space="preserve"> PAGEREF _Toc27755 \h </w:instrText>
          </w:r>
          <w:r>
            <w:fldChar w:fldCharType="separate"/>
          </w:r>
          <w:r>
            <w:t>56</w:t>
          </w:r>
          <w:r>
            <w:fldChar w:fldCharType="end"/>
          </w:r>
          <w:r>
            <w:rPr>
              <w:rFonts w:hint="default"/>
            </w:rPr>
            <w:fldChar w:fldCharType="end"/>
          </w:r>
        </w:p>
        <w:p w14:paraId="2193387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_Toc21776 </w:instrText>
          </w:r>
          <w:r>
            <w:rPr>
              <w:rFonts w:hint="default"/>
            </w:rPr>
            <w:fldChar w:fldCharType="separate"/>
          </w:r>
          <w:r>
            <w:rPr>
              <w:rFonts w:hint="eastAsia"/>
              <w:lang w:val="en-US" w:eastAsia="zh-CN"/>
            </w:rPr>
            <w:t>8</w:t>
          </w:r>
          <w:r>
            <w:rPr>
              <w:rFonts w:hint="default"/>
              <w:lang w:val="en-US" w:eastAsia="zh-CN"/>
            </w:rPr>
            <w:t>.3预案的评估与修订</w:t>
          </w:r>
          <w:r>
            <w:tab/>
          </w:r>
          <w:r>
            <w:fldChar w:fldCharType="begin"/>
          </w:r>
          <w:r>
            <w:instrText xml:space="preserve"> PAGEREF _Toc21776 \h </w:instrText>
          </w:r>
          <w:r>
            <w:fldChar w:fldCharType="separate"/>
          </w:r>
          <w:r>
            <w:t>56</w:t>
          </w:r>
          <w:r>
            <w:fldChar w:fldCharType="end"/>
          </w:r>
          <w:r>
            <w:rPr>
              <w:rFonts w:hint="default"/>
            </w:rPr>
            <w:fldChar w:fldCharType="end"/>
          </w:r>
        </w:p>
        <w:p w14:paraId="321604B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_Toc26981 </w:instrText>
          </w:r>
          <w:r>
            <w:rPr>
              <w:rFonts w:hint="default"/>
            </w:rPr>
            <w:fldChar w:fldCharType="separate"/>
          </w:r>
          <w:r>
            <w:rPr>
              <w:rFonts w:hint="eastAsia"/>
              <w:lang w:val="en-US" w:eastAsia="zh-CN"/>
            </w:rPr>
            <w:t>8</w:t>
          </w:r>
          <w:r>
            <w:rPr>
              <w:rFonts w:hint="default"/>
              <w:lang w:val="en-US" w:eastAsia="zh-CN"/>
            </w:rPr>
            <w:t>.4 实施日期</w:t>
          </w:r>
          <w:r>
            <w:tab/>
          </w:r>
          <w:r>
            <w:fldChar w:fldCharType="begin"/>
          </w:r>
          <w:r>
            <w:instrText xml:space="preserve"> PAGEREF _Toc26981 \h </w:instrText>
          </w:r>
          <w:r>
            <w:fldChar w:fldCharType="separate"/>
          </w:r>
          <w:r>
            <w:t>57</w:t>
          </w:r>
          <w:r>
            <w:fldChar w:fldCharType="end"/>
          </w:r>
          <w:r>
            <w:rPr>
              <w:rFonts w:hint="default"/>
            </w:rPr>
            <w:fldChar w:fldCharType="end"/>
          </w:r>
        </w:p>
        <w:p w14:paraId="73C3AC3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_Toc18890 </w:instrText>
          </w:r>
          <w:r>
            <w:rPr>
              <w:rFonts w:hint="default"/>
            </w:rPr>
            <w:fldChar w:fldCharType="separate"/>
          </w:r>
          <w:r>
            <w:rPr>
              <w:rFonts w:hint="eastAsia"/>
              <w:lang w:val="en-US" w:eastAsia="zh-CN"/>
            </w:rPr>
            <w:t>附图1：汾阳市地理位置区域图</w:t>
          </w:r>
          <w:r>
            <w:tab/>
          </w:r>
          <w:r>
            <w:fldChar w:fldCharType="begin"/>
          </w:r>
          <w:r>
            <w:instrText xml:space="preserve"> PAGEREF _Toc18890 \h </w:instrText>
          </w:r>
          <w:r>
            <w:fldChar w:fldCharType="separate"/>
          </w:r>
          <w:r>
            <w:t>58</w:t>
          </w:r>
          <w:r>
            <w:fldChar w:fldCharType="end"/>
          </w:r>
          <w:r>
            <w:rPr>
              <w:rFonts w:hint="default"/>
            </w:rPr>
            <w:fldChar w:fldCharType="end"/>
          </w:r>
        </w:p>
        <w:p w14:paraId="05E093B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_Toc30687 </w:instrText>
          </w:r>
          <w:r>
            <w:rPr>
              <w:rFonts w:hint="default"/>
            </w:rPr>
            <w:fldChar w:fldCharType="separate"/>
          </w:r>
          <w:r>
            <w:rPr>
              <w:rFonts w:hint="eastAsia"/>
              <w:lang w:val="en-US" w:eastAsia="zh-CN"/>
            </w:rPr>
            <w:t>附图2：汾阳市地表水系图</w:t>
          </w:r>
          <w:r>
            <w:tab/>
          </w:r>
          <w:r>
            <w:fldChar w:fldCharType="begin"/>
          </w:r>
          <w:r>
            <w:instrText xml:space="preserve"> PAGEREF _Toc30687 \h </w:instrText>
          </w:r>
          <w:r>
            <w:fldChar w:fldCharType="separate"/>
          </w:r>
          <w:r>
            <w:t>59</w:t>
          </w:r>
          <w:r>
            <w:fldChar w:fldCharType="end"/>
          </w:r>
          <w:r>
            <w:rPr>
              <w:rFonts w:hint="default"/>
            </w:rPr>
            <w:fldChar w:fldCharType="end"/>
          </w:r>
        </w:p>
        <w:p w14:paraId="3970C99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_Toc18813 </w:instrText>
          </w:r>
          <w:r>
            <w:rPr>
              <w:rFonts w:hint="default"/>
            </w:rPr>
            <w:fldChar w:fldCharType="separate"/>
          </w:r>
          <w:r>
            <w:rPr>
              <w:rFonts w:hint="eastAsia"/>
              <w:lang w:val="en-US" w:eastAsia="zh-CN"/>
            </w:rPr>
            <w:t>附件1：应急组织体系图</w:t>
          </w:r>
          <w:r>
            <w:tab/>
          </w:r>
          <w:r>
            <w:fldChar w:fldCharType="begin"/>
          </w:r>
          <w:r>
            <w:instrText xml:space="preserve"> PAGEREF _Toc18813 \h </w:instrText>
          </w:r>
          <w:r>
            <w:fldChar w:fldCharType="separate"/>
          </w:r>
          <w:r>
            <w:t>60</w:t>
          </w:r>
          <w:r>
            <w:fldChar w:fldCharType="end"/>
          </w:r>
          <w:r>
            <w:rPr>
              <w:rFonts w:hint="default"/>
            </w:rPr>
            <w:fldChar w:fldCharType="end"/>
          </w:r>
        </w:p>
        <w:p w14:paraId="4427E43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_Toc9217 </w:instrText>
          </w:r>
          <w:r>
            <w:rPr>
              <w:rFonts w:hint="default"/>
            </w:rPr>
            <w:fldChar w:fldCharType="separate"/>
          </w:r>
          <w:r>
            <w:rPr>
              <w:rFonts w:hint="default"/>
              <w:lang w:val="en-US" w:eastAsia="zh-CN"/>
            </w:rPr>
            <w:t>附件2：饮用水水源地突发环境事件应急响应工作路线图</w:t>
          </w:r>
          <w:r>
            <w:tab/>
          </w:r>
          <w:r>
            <w:fldChar w:fldCharType="begin"/>
          </w:r>
          <w:r>
            <w:instrText xml:space="preserve"> PAGEREF _Toc9217 \h </w:instrText>
          </w:r>
          <w:r>
            <w:fldChar w:fldCharType="separate"/>
          </w:r>
          <w:r>
            <w:t>61</w:t>
          </w:r>
          <w:r>
            <w:fldChar w:fldCharType="end"/>
          </w:r>
          <w:r>
            <w:rPr>
              <w:rFonts w:hint="default"/>
            </w:rPr>
            <w:fldChar w:fldCharType="end"/>
          </w:r>
        </w:p>
        <w:p w14:paraId="3D24183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_Toc15759 </w:instrText>
          </w:r>
          <w:r>
            <w:rPr>
              <w:rFonts w:hint="default"/>
            </w:rPr>
            <w:fldChar w:fldCharType="separate"/>
          </w:r>
          <w:r>
            <w:rPr>
              <w:rFonts w:hint="default"/>
              <w:lang w:val="en-US" w:eastAsia="zh-CN"/>
            </w:rPr>
            <w:t>附件</w:t>
          </w:r>
          <w:r>
            <w:rPr>
              <w:rFonts w:hint="eastAsia"/>
              <w:lang w:val="en-US" w:eastAsia="zh-CN"/>
            </w:rPr>
            <w:t>3</w:t>
          </w:r>
          <w:r>
            <w:rPr>
              <w:rFonts w:hint="default"/>
              <w:lang w:val="en-US" w:eastAsia="zh-CN"/>
            </w:rPr>
            <w:t>：培训、宣传与演练</w:t>
          </w:r>
          <w:r>
            <w:tab/>
          </w:r>
          <w:r>
            <w:fldChar w:fldCharType="begin"/>
          </w:r>
          <w:r>
            <w:instrText xml:space="preserve"> PAGEREF _Toc15759 \h </w:instrText>
          </w:r>
          <w:r>
            <w:fldChar w:fldCharType="separate"/>
          </w:r>
          <w:r>
            <w:t>62</w:t>
          </w:r>
          <w:r>
            <w:fldChar w:fldCharType="end"/>
          </w:r>
          <w:r>
            <w:rPr>
              <w:rFonts w:hint="default"/>
            </w:rPr>
            <w:fldChar w:fldCharType="end"/>
          </w:r>
        </w:p>
        <w:p w14:paraId="0044B89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_Toc28673 </w:instrText>
          </w:r>
          <w:r>
            <w:rPr>
              <w:rFonts w:hint="default"/>
            </w:rPr>
            <w:fldChar w:fldCharType="separate"/>
          </w:r>
          <w:r>
            <w:rPr>
              <w:rFonts w:hint="default"/>
              <w:lang w:val="en-US" w:eastAsia="zh-CN"/>
            </w:rPr>
            <w:t xml:space="preserve">附件 </w:t>
          </w:r>
          <w:r>
            <w:rPr>
              <w:rFonts w:hint="eastAsia"/>
              <w:lang w:val="en-US" w:eastAsia="zh-CN"/>
            </w:rPr>
            <w:t>4</w:t>
          </w:r>
          <w:r>
            <w:rPr>
              <w:rFonts w:hint="default"/>
              <w:lang w:val="en-US" w:eastAsia="zh-CN"/>
            </w:rPr>
            <w:t>：水质超标指标控制和处理技术推荐表</w:t>
          </w:r>
          <w:r>
            <w:tab/>
          </w:r>
          <w:r>
            <w:fldChar w:fldCharType="begin"/>
          </w:r>
          <w:r>
            <w:instrText xml:space="preserve"> PAGEREF _Toc28673 \h </w:instrText>
          </w:r>
          <w:r>
            <w:fldChar w:fldCharType="separate"/>
          </w:r>
          <w:r>
            <w:t>65</w:t>
          </w:r>
          <w:r>
            <w:fldChar w:fldCharType="end"/>
          </w:r>
          <w:r>
            <w:rPr>
              <w:rFonts w:hint="default"/>
            </w:rPr>
            <w:fldChar w:fldCharType="end"/>
          </w:r>
        </w:p>
        <w:p w14:paraId="3C4E66D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_Toc11272 </w:instrText>
          </w:r>
          <w:r>
            <w:rPr>
              <w:rFonts w:hint="default"/>
            </w:rPr>
            <w:fldChar w:fldCharType="separate"/>
          </w:r>
          <w:r>
            <w:rPr>
              <w:rFonts w:hint="default"/>
              <w:lang w:val="en-US" w:eastAsia="zh-CN"/>
            </w:rPr>
            <w:t xml:space="preserve">附件 </w:t>
          </w:r>
          <w:r>
            <w:rPr>
              <w:rFonts w:hint="eastAsia"/>
              <w:lang w:val="en-US" w:eastAsia="zh-CN"/>
            </w:rPr>
            <w:t>5</w:t>
          </w:r>
          <w:r>
            <w:rPr>
              <w:rFonts w:hint="default"/>
              <w:lang w:val="en-US" w:eastAsia="zh-CN"/>
            </w:rPr>
            <w:t>：常见化学品引发水污染事故的简要处置方法</w:t>
          </w:r>
          <w:r>
            <w:tab/>
          </w:r>
          <w:r>
            <w:fldChar w:fldCharType="begin"/>
          </w:r>
          <w:r>
            <w:instrText xml:space="preserve"> PAGEREF _Toc11272 \h </w:instrText>
          </w:r>
          <w:r>
            <w:fldChar w:fldCharType="separate"/>
          </w:r>
          <w:r>
            <w:t>66</w:t>
          </w:r>
          <w:r>
            <w:fldChar w:fldCharType="end"/>
          </w:r>
          <w:r>
            <w:rPr>
              <w:rFonts w:hint="default"/>
            </w:rPr>
            <w:fldChar w:fldCharType="end"/>
          </w:r>
        </w:p>
        <w:p w14:paraId="7916571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_Toc19411 </w:instrText>
          </w:r>
          <w:r>
            <w:rPr>
              <w:rFonts w:hint="default"/>
            </w:rPr>
            <w:fldChar w:fldCharType="separate"/>
          </w:r>
          <w:r>
            <w:rPr>
              <w:rFonts w:hint="eastAsia" w:ascii="Times New Roman" w:hAnsi="Times New Roman"/>
              <w:lang w:val="en-US" w:eastAsia="zh-CN"/>
            </w:rPr>
            <w:t>附件6：</w:t>
          </w:r>
          <w:r>
            <w:rPr>
              <w:rFonts w:hint="eastAsia"/>
              <w:lang w:val="en-US" w:eastAsia="zh-CN"/>
            </w:rPr>
            <w:t>技术审查意见</w:t>
          </w:r>
          <w:r>
            <w:tab/>
          </w:r>
          <w:r>
            <w:fldChar w:fldCharType="begin"/>
          </w:r>
          <w:r>
            <w:instrText xml:space="preserve"> PAGEREF _Toc19411 \h </w:instrText>
          </w:r>
          <w:r>
            <w:fldChar w:fldCharType="separate"/>
          </w:r>
          <w:r>
            <w:t>70</w:t>
          </w:r>
          <w:r>
            <w:fldChar w:fldCharType="end"/>
          </w:r>
          <w:r>
            <w:rPr>
              <w:rFonts w:hint="default"/>
            </w:rPr>
            <w:fldChar w:fldCharType="end"/>
          </w:r>
        </w:p>
        <w:p w14:paraId="67B83F97">
          <w:pPr>
            <w:pStyle w:val="2"/>
            <w:pageBreakBefore w:val="0"/>
            <w:widowControl/>
            <w:kinsoku/>
            <w:wordWrap/>
            <w:overflowPunct/>
            <w:topLinePunct w:val="0"/>
            <w:autoSpaceDE/>
            <w:autoSpaceDN/>
            <w:bidi w:val="0"/>
            <w:adjustRightInd w:val="0"/>
            <w:snapToGrid w:val="0"/>
            <w:spacing w:line="400" w:lineRule="exact"/>
            <w:textAlignment w:val="auto"/>
            <w:rPr>
              <w:rFonts w:hint="default" w:ascii="Times New Roman" w:hAnsi="Times New Roman" w:eastAsia="仿宋" w:cs="微软雅黑"/>
              <w:b/>
              <w:color w:val="000000"/>
              <w:kern w:val="2"/>
              <w:sz w:val="36"/>
              <w:szCs w:val="24"/>
              <w:lang w:val="en-US" w:eastAsia="zh-CN" w:bidi="ar-SA"/>
            </w:rPr>
          </w:pPr>
          <w:r>
            <w:rPr>
              <w:rFonts w:hint="default"/>
            </w:rPr>
            <w:fldChar w:fldCharType="end"/>
          </w:r>
        </w:p>
      </w:sdtContent>
    </w:sdt>
    <w:p w14:paraId="2CC5B2CE">
      <w:pPr>
        <w:rPr>
          <w:rFonts w:hint="default"/>
        </w:rPr>
        <w:sectPr>
          <w:headerReference r:id="rId5" w:type="default"/>
          <w:footerReference r:id="rId6" w:type="default"/>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73E038B5">
      <w:pPr>
        <w:pStyle w:val="2"/>
        <w:bidi w:val="0"/>
        <w:rPr>
          <w:rFonts w:hint="default"/>
        </w:rPr>
      </w:pPr>
      <w:bookmarkStart w:id="5" w:name="_Toc9233"/>
      <w:r>
        <w:rPr>
          <w:rFonts w:hint="default"/>
        </w:rPr>
        <w:t>第一章</w:t>
      </w:r>
      <w:r>
        <w:rPr>
          <w:rFonts w:hint="default"/>
          <w:lang w:val="en-US" w:eastAsia="zh-CN"/>
        </w:rPr>
        <w:t xml:space="preserve"> </w:t>
      </w:r>
      <w:r>
        <w:rPr>
          <w:rFonts w:hint="default"/>
        </w:rPr>
        <w:t>总则</w:t>
      </w:r>
      <w:bookmarkEnd w:id="5"/>
    </w:p>
    <w:p w14:paraId="732D6F79">
      <w:pPr>
        <w:pStyle w:val="3"/>
        <w:bidi w:val="0"/>
        <w:rPr>
          <w:rFonts w:hint="default"/>
        </w:rPr>
      </w:pPr>
      <w:bookmarkStart w:id="6" w:name="_Toc32253"/>
      <w:bookmarkStart w:id="7" w:name="_Toc19739"/>
      <w:r>
        <w:rPr>
          <w:rFonts w:hint="default"/>
        </w:rPr>
        <w:t>1.1 编制目的</w:t>
      </w:r>
      <w:bookmarkEnd w:id="6"/>
      <w:bookmarkEnd w:id="7"/>
      <w:r>
        <w:rPr>
          <w:rFonts w:hint="default"/>
        </w:rPr>
        <w:t xml:space="preserve"> </w:t>
      </w:r>
    </w:p>
    <w:p w14:paraId="178C03E5">
      <w:pPr>
        <w:bidi w:val="0"/>
        <w:rPr>
          <w:rFonts w:hint="default"/>
        </w:rPr>
      </w:pPr>
      <w:r>
        <w:rPr>
          <w:rFonts w:hint="default"/>
        </w:rPr>
        <w:t>为切实做好</w:t>
      </w:r>
      <w:r>
        <w:rPr>
          <w:rFonts w:hint="eastAsia"/>
          <w:lang w:eastAsia="zh-CN"/>
        </w:rPr>
        <w:t>汾阳市10处乡镇集中式饮用水水源地</w:t>
      </w:r>
      <w:r>
        <w:rPr>
          <w:rFonts w:hint="default"/>
        </w:rPr>
        <w:t>污染防治工作，建立健全</w:t>
      </w:r>
      <w:r>
        <w:rPr>
          <w:rFonts w:hint="eastAsia"/>
          <w:lang w:eastAsia="zh-CN"/>
        </w:rPr>
        <w:t>汾阳市</w:t>
      </w:r>
      <w:r>
        <w:rPr>
          <w:rFonts w:hint="default"/>
        </w:rPr>
        <w:t>应对饮用水水源地突发环境污染事件的应急机制，有效防范、及时控制和处置饮用水水源地突发环境事件，最大程度降低突发环境事件对水源地水质影响，确保居民饮水安全，保障人民群众生命健康和财产安全，维护社会稳定，特制定本预案。</w:t>
      </w:r>
    </w:p>
    <w:p w14:paraId="400A1CA9">
      <w:pPr>
        <w:pStyle w:val="3"/>
        <w:bidi w:val="0"/>
        <w:rPr>
          <w:rFonts w:hint="default"/>
        </w:rPr>
      </w:pPr>
      <w:bookmarkStart w:id="8" w:name="_Toc9872"/>
      <w:bookmarkStart w:id="9" w:name="_Toc19959"/>
      <w:r>
        <w:rPr>
          <w:rFonts w:hint="default"/>
        </w:rPr>
        <w:t>1.2 编制依据</w:t>
      </w:r>
      <w:bookmarkEnd w:id="8"/>
      <w:bookmarkEnd w:id="9"/>
      <w:r>
        <w:rPr>
          <w:rFonts w:hint="default"/>
        </w:rPr>
        <w:t xml:space="preserve"> </w:t>
      </w:r>
    </w:p>
    <w:p w14:paraId="54FBCF81">
      <w:pPr>
        <w:pStyle w:val="4"/>
        <w:bidi w:val="0"/>
        <w:rPr>
          <w:rFonts w:hint="default"/>
        </w:rPr>
      </w:pPr>
      <w:bookmarkStart w:id="10" w:name="_Toc30952"/>
      <w:r>
        <w:rPr>
          <w:rFonts w:hint="default"/>
        </w:rPr>
        <w:t>1.2.1 相关法律法规</w:t>
      </w:r>
      <w:bookmarkEnd w:id="10"/>
      <w:r>
        <w:rPr>
          <w:rFonts w:hint="default"/>
        </w:rPr>
        <w:t xml:space="preserve"> </w:t>
      </w:r>
    </w:p>
    <w:p w14:paraId="23845EB6">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（1）《中华人民共和国环境保护法》（自 2015 年 1 月 1 日起施行）； </w:t>
      </w:r>
    </w:p>
    <w:p w14:paraId="07DA444A">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w:t>
      </w:r>
      <w:r>
        <w:rPr>
          <w:rFonts w:hint="eastAsia" w:ascii="仿宋" w:hAnsi="仿宋" w:eastAsia="仿宋" w:cs="仿宋"/>
          <w:color w:val="auto"/>
          <w:kern w:val="0"/>
          <w:sz w:val="28"/>
          <w:szCs w:val="28"/>
          <w:lang w:val="en-US" w:eastAsia="zh-CN"/>
        </w:rPr>
        <w:t>《中华人民共和国突发事件</w:t>
      </w:r>
      <w:r>
        <w:rPr>
          <w:rFonts w:hint="default" w:ascii="Times New Roman" w:hAnsi="Times New Roman" w:eastAsia="仿宋" w:cs="Times New Roman"/>
          <w:color w:val="auto"/>
          <w:kern w:val="0"/>
          <w:sz w:val="28"/>
          <w:szCs w:val="28"/>
          <w:lang w:val="en-US" w:eastAsia="zh-CN"/>
        </w:rPr>
        <w:t>应对法》（2024年6月28日修订，2024年11月1日起施行）</w:t>
      </w:r>
      <w:r>
        <w:rPr>
          <w:rFonts w:hint="default" w:ascii="Times New Roman" w:hAnsi="Times New Roman" w:eastAsia="仿宋" w:cs="Times New Roman"/>
          <w:sz w:val="28"/>
          <w:szCs w:val="28"/>
        </w:rPr>
        <w:t xml:space="preserve">； </w:t>
      </w:r>
    </w:p>
    <w:p w14:paraId="244C35A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（3）《中华人民共和国水污染防治法》，2017年6月27日修订通过，自2018年1月1日起施行；</w:t>
      </w:r>
    </w:p>
    <w:p w14:paraId="026DD30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default"/>
          <w:lang w:val="en-US" w:eastAsia="zh-CN"/>
        </w:rPr>
        <w:t>《中华人民共和国固体废物污染环境防治法》，2020年4月29日修订，2020年9月1日施行；</w:t>
      </w:r>
    </w:p>
    <w:p w14:paraId="1BB1381B">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w:t>
      </w:r>
      <w:r>
        <w:rPr>
          <w:rFonts w:hint="default"/>
          <w:lang w:val="en-US" w:eastAsia="zh-CN"/>
        </w:rPr>
        <w:t>《中华人民共和国安全生产法》，2021年7月16日修订，2021年9月1日施行；</w:t>
      </w:r>
    </w:p>
    <w:p w14:paraId="39D32D40">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xml:space="preserve">）《中华人民共和国消防法》（2021 年 4 月 29 日第十三届全国人民代表大会常务委员会第二十八次会议通过修正）； </w:t>
      </w:r>
    </w:p>
    <w:p w14:paraId="34B4729F">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）《突发事件应急预案管理办法》国办发〔2024〕5号；</w:t>
      </w:r>
    </w:p>
    <w:p w14:paraId="653E4B6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）《突发环境事件信息报告办法》（环境保护部令第17号，自2011年5月1日起施行）；</w:t>
      </w:r>
    </w:p>
    <w:p w14:paraId="47DA131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）《突发环境事件调查处理办法》（环境保护部令第32号，自2015年3月1日起施行）；</w:t>
      </w:r>
    </w:p>
    <w:p w14:paraId="4D48A68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0</w:t>
      </w:r>
      <w:r>
        <w:rPr>
          <w:rFonts w:hint="default" w:ascii="Times New Roman" w:hAnsi="Times New Roman" w:eastAsia="仿宋" w:cs="Times New Roman"/>
          <w:sz w:val="28"/>
          <w:szCs w:val="28"/>
          <w:lang w:val="en-US" w:eastAsia="zh-CN"/>
        </w:rPr>
        <w:t>）《突发环境事件应急管理办法》（环境保护部令第34号，自2015年6月5日起施行）；</w:t>
      </w:r>
    </w:p>
    <w:p w14:paraId="365AC01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val="en-US" w:eastAsia="zh-CN"/>
        </w:rPr>
        <w:t>）《危险化学品重大危险源监督管理暂行规定》（根据2015年5月27日国家安全监管总局令第79号修正，自2015年7月1日起施行）；</w:t>
      </w:r>
    </w:p>
    <w:p w14:paraId="6FCF015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）《城市供水水质管理规定》（建设部令第156号，自2007年5月1日起施行）；</w:t>
      </w:r>
    </w:p>
    <w:p w14:paraId="6FF9979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）《生活饮用水卫生监督管理办法》（住房城乡建设部、国家卫生计生委令第31号，自2016年6月1日起施行）；</w:t>
      </w:r>
    </w:p>
    <w:p w14:paraId="60AA3131">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）《山西省水污染防治条例》（自2019年10月1日起施行）</w:t>
      </w:r>
      <w:r>
        <w:rPr>
          <w:rFonts w:hint="eastAsia" w:cs="Times New Roman"/>
          <w:sz w:val="28"/>
          <w:szCs w:val="28"/>
          <w:lang w:val="en-US" w:eastAsia="zh-CN"/>
        </w:rPr>
        <w:t>；</w:t>
      </w:r>
    </w:p>
    <w:p w14:paraId="72785205">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zh-CN" w:eastAsia="zh-CN"/>
        </w:rPr>
        <w:t>《山西省突发事件应急预案管理办法》（</w:t>
      </w:r>
      <w:r>
        <w:rPr>
          <w:rFonts w:hint="default" w:ascii="Times New Roman" w:hAnsi="Times New Roman" w:eastAsia="仿宋" w:cs="Times New Roman"/>
          <w:sz w:val="28"/>
          <w:szCs w:val="28"/>
          <w:lang w:val="zh-CN" w:eastAsia="zh-CN"/>
        </w:rPr>
        <w:t>晋政办发〔</w:t>
      </w:r>
      <w:r>
        <w:rPr>
          <w:rFonts w:hint="eastAsia" w:ascii="Times New Roman" w:hAnsi="Times New Roman" w:eastAsia="仿宋" w:cs="Times New Roman"/>
          <w:sz w:val="28"/>
          <w:szCs w:val="28"/>
          <w:lang w:val="en-US" w:eastAsia="zh-CN"/>
        </w:rPr>
        <w:t>2024</w:t>
      </w:r>
      <w:r>
        <w:rPr>
          <w:rFonts w:hint="default" w:ascii="Times New Roman" w:hAnsi="Times New Roman" w:eastAsia="仿宋" w:cs="Times New Roman"/>
          <w:sz w:val="28"/>
          <w:szCs w:val="28"/>
          <w:lang w:val="zh-CN" w:eastAsia="zh-CN"/>
        </w:rPr>
        <w:t>〕</w:t>
      </w:r>
      <w:r>
        <w:rPr>
          <w:rFonts w:hint="eastAsia" w:ascii="Times New Roman" w:hAnsi="Times New Roman" w:eastAsia="仿宋" w:cs="Times New Roman"/>
          <w:sz w:val="28"/>
          <w:szCs w:val="28"/>
          <w:lang w:val="en-US" w:eastAsia="zh-CN"/>
        </w:rPr>
        <w:t>32</w:t>
      </w:r>
      <w:r>
        <w:rPr>
          <w:rFonts w:hint="default" w:ascii="Times New Roman" w:hAnsi="Times New Roman" w:eastAsia="仿宋" w:cs="Times New Roman"/>
          <w:sz w:val="28"/>
          <w:szCs w:val="28"/>
          <w:lang w:val="zh-CN" w:eastAsia="zh-CN"/>
        </w:rPr>
        <w:t>号</w:t>
      </w:r>
      <w:r>
        <w:rPr>
          <w:rFonts w:hint="eastAsia" w:ascii="Times New Roman" w:hAnsi="Times New Roman" w:eastAsia="仿宋" w:cs="Times New Roman"/>
          <w:sz w:val="28"/>
          <w:szCs w:val="28"/>
          <w:lang w:val="zh-CN" w:eastAsia="zh-CN"/>
        </w:rPr>
        <w:t>）</w:t>
      </w:r>
      <w:r>
        <w:rPr>
          <w:rFonts w:hint="eastAsia" w:cs="Times New Roman"/>
          <w:sz w:val="28"/>
          <w:szCs w:val="28"/>
          <w:lang w:val="zh-CN" w:eastAsia="zh-CN"/>
        </w:rPr>
        <w:t>。</w:t>
      </w:r>
    </w:p>
    <w:p w14:paraId="7A2A3270">
      <w:pPr>
        <w:pStyle w:val="4"/>
        <w:keepNext/>
        <w:keepLines/>
        <w:pageBreakBefore w:val="0"/>
        <w:widowControl/>
        <w:kinsoku/>
        <w:wordWrap/>
        <w:overflowPunct/>
        <w:topLinePunct w:val="0"/>
        <w:autoSpaceDE/>
        <w:autoSpaceDN/>
        <w:bidi w:val="0"/>
        <w:adjustRightInd w:val="0"/>
        <w:snapToGrid w:val="0"/>
        <w:textAlignment w:val="auto"/>
        <w:rPr>
          <w:rFonts w:hint="default"/>
          <w:lang w:val="en-US" w:eastAsia="zh-CN"/>
        </w:rPr>
      </w:pPr>
      <w:bookmarkStart w:id="11" w:name="_Toc19259"/>
      <w:r>
        <w:rPr>
          <w:rFonts w:hint="default"/>
          <w:lang w:val="en-US" w:eastAsia="zh-CN"/>
        </w:rPr>
        <w:t>1.2.2相关标准规范和文件</w:t>
      </w:r>
      <w:bookmarkEnd w:id="11"/>
    </w:p>
    <w:p w14:paraId="647852AE">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（1）《国家突发环境事件应急预案》（国办函〔2014〕119号）；</w:t>
      </w:r>
    </w:p>
    <w:p w14:paraId="68B7DD7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（2）《国家突发事件总体应急预案》（20</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rPr>
        <w:t>年</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月</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rPr>
        <w:t>日发布并实施）；</w:t>
      </w:r>
    </w:p>
    <w:p w14:paraId="21A0093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3</w:t>
      </w:r>
      <w:r>
        <w:rPr>
          <w:rFonts w:hint="default" w:ascii="Times New Roman" w:hAnsi="Times New Roman" w:eastAsia="仿宋" w:cs="Times New Roman"/>
          <w:sz w:val="28"/>
          <w:szCs w:val="28"/>
        </w:rPr>
        <w:t>）《突发环境事件应急监测技术规范》（HJ589-20</w:t>
      </w:r>
      <w:r>
        <w:rPr>
          <w:rFonts w:hint="eastAsia" w:ascii="Times New Roman" w:hAnsi="Times New Roman" w:eastAsia="仿宋" w:cs="Times New Roman"/>
          <w:sz w:val="28"/>
          <w:szCs w:val="28"/>
          <w:lang w:val="en-US" w:eastAsia="zh-CN"/>
        </w:rPr>
        <w:t>21</w:t>
      </w:r>
      <w:r>
        <w:rPr>
          <w:rFonts w:hint="default" w:ascii="Times New Roman" w:hAnsi="Times New Roman" w:eastAsia="仿宋" w:cs="Times New Roman"/>
          <w:sz w:val="28"/>
          <w:szCs w:val="28"/>
        </w:rPr>
        <w:t>）；</w:t>
      </w:r>
    </w:p>
    <w:p w14:paraId="302987E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4</w:t>
      </w:r>
      <w:r>
        <w:rPr>
          <w:rFonts w:hint="default" w:ascii="Times New Roman" w:hAnsi="Times New Roman" w:eastAsia="仿宋" w:cs="Times New Roman"/>
          <w:sz w:val="28"/>
          <w:szCs w:val="28"/>
        </w:rPr>
        <w:t>）《集中式饮用水水源地环境保护规范化建设技术要求》(HJ773-2015)；</w:t>
      </w:r>
    </w:p>
    <w:p w14:paraId="23554EFB">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highlight w:val="yellow"/>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5</w:t>
      </w:r>
      <w:r>
        <w:rPr>
          <w:rFonts w:hint="default" w:ascii="Times New Roman" w:hAnsi="Times New Roman" w:eastAsia="仿宋" w:cs="Times New Roman"/>
          <w:sz w:val="28"/>
          <w:szCs w:val="28"/>
        </w:rPr>
        <w:t>）《集中式饮用水水源地环境保护状况评估技术规范》（HJ774-2015）；</w:t>
      </w:r>
    </w:p>
    <w:p w14:paraId="680078E9">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cs="Times New Roman"/>
          <w:sz w:val="28"/>
          <w:szCs w:val="28"/>
          <w:lang w:val="en-US" w:eastAsia="zh-CN"/>
        </w:rPr>
        <w:t>6</w:t>
      </w:r>
      <w:r>
        <w:rPr>
          <w:rFonts w:hint="default" w:ascii="Times New Roman" w:hAnsi="Times New Roman" w:eastAsia="仿宋" w:cs="Times New Roman"/>
          <w:sz w:val="28"/>
          <w:szCs w:val="28"/>
        </w:rPr>
        <w:t>）《行政区域突发环境事件风险评估推荐方法》（环办应急〔2018〕9号）；</w:t>
      </w:r>
    </w:p>
    <w:p w14:paraId="3EC9443C">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cs="Times New Roman"/>
          <w:sz w:val="28"/>
          <w:szCs w:val="28"/>
          <w:lang w:val="en-US" w:eastAsia="zh-CN"/>
        </w:rPr>
        <w:t>7</w:t>
      </w:r>
      <w:r>
        <w:rPr>
          <w:rFonts w:hint="default" w:ascii="Times New Roman" w:hAnsi="Times New Roman" w:eastAsia="仿宋" w:cs="Times New Roman"/>
          <w:sz w:val="28"/>
          <w:szCs w:val="28"/>
        </w:rPr>
        <w:t>）《饮用水水源保护区标志技术要求》（HJ/T433-2008）；</w:t>
      </w:r>
    </w:p>
    <w:p w14:paraId="647AA46C">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8</w:t>
      </w:r>
      <w:r>
        <w:rPr>
          <w:rFonts w:hint="default" w:ascii="Times New Roman" w:hAnsi="Times New Roman" w:eastAsia="仿宋" w:cs="Times New Roman"/>
          <w:sz w:val="28"/>
          <w:szCs w:val="28"/>
        </w:rPr>
        <w:t>）《集中式地表水饮用水水源地突发环境事件应急预案编制指南（试行）》（公告2018年第1号）；</w:t>
      </w:r>
    </w:p>
    <w:p w14:paraId="2E2FAF2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9</w:t>
      </w:r>
      <w:r>
        <w:rPr>
          <w:rFonts w:hint="default" w:ascii="Times New Roman" w:hAnsi="Times New Roman" w:eastAsia="仿宋" w:cs="Times New Roman"/>
          <w:sz w:val="28"/>
          <w:szCs w:val="28"/>
        </w:rPr>
        <w:t>）《危险化学品重大危险源辨识》（GB18218-2018）；</w:t>
      </w:r>
    </w:p>
    <w:p w14:paraId="1A28A4B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1</w:t>
      </w:r>
      <w:r>
        <w:rPr>
          <w:rFonts w:hint="eastAsia" w:cs="Times New Roman"/>
          <w:sz w:val="28"/>
          <w:szCs w:val="28"/>
          <w:lang w:val="en-US" w:eastAsia="zh-CN"/>
        </w:rPr>
        <w:t>0</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《危险化学品安全管理条例》，201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年12月</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val="en-US" w:eastAsia="zh-CN"/>
        </w:rPr>
        <w:t>日施行</w:t>
      </w:r>
      <w:r>
        <w:rPr>
          <w:rFonts w:hint="default" w:ascii="Times New Roman" w:hAnsi="Times New Roman" w:eastAsia="仿宋" w:cs="Times New Roman"/>
          <w:sz w:val="28"/>
          <w:szCs w:val="28"/>
        </w:rPr>
        <w:t>；</w:t>
      </w:r>
    </w:p>
    <w:p w14:paraId="4DE71043">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eastAsia" w:ascii="Times New Roman" w:hAnsi="Times New Roman" w:eastAsia="仿宋" w:cs="Times New Roman"/>
          <w:sz w:val="28"/>
          <w:szCs w:val="28"/>
          <w:highlight w:val="none"/>
          <w:lang w:eastAsia="zh-CN"/>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1</w:t>
      </w:r>
      <w:r>
        <w:rPr>
          <w:rFonts w:hint="eastAsia" w:cs="Times New Roman"/>
          <w:sz w:val="28"/>
          <w:szCs w:val="28"/>
          <w:lang w:val="en-US" w:eastAsia="zh-CN"/>
        </w:rPr>
        <w:t>1</w:t>
      </w:r>
      <w:r>
        <w:rPr>
          <w:rFonts w:hint="default" w:ascii="Times New Roman" w:hAnsi="Times New Roman" w:eastAsia="仿宋" w:cs="Times New Roman"/>
          <w:sz w:val="28"/>
          <w:szCs w:val="28"/>
        </w:rPr>
        <w:t>）《饮用水水源保护区污染防治管理规定》（2010年</w:t>
      </w:r>
      <w:r>
        <w:rPr>
          <w:rFonts w:hint="default"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rPr>
        <w:t>月22日修正）；</w:t>
      </w:r>
    </w:p>
    <w:p w14:paraId="4D5BEA61">
      <w:pPr>
        <w:pStyle w:val="4"/>
        <w:bidi w:val="0"/>
        <w:rPr>
          <w:rFonts w:hint="default"/>
          <w:lang w:val="en-US" w:eastAsia="zh-CN"/>
        </w:rPr>
      </w:pPr>
      <w:bookmarkStart w:id="12" w:name="_Toc1983"/>
      <w:r>
        <w:rPr>
          <w:rFonts w:hint="default"/>
          <w:lang w:val="en-US" w:eastAsia="zh-CN"/>
        </w:rPr>
        <w:t>1.2.3 其他技术资料</w:t>
      </w:r>
      <w:bookmarkEnd w:id="12"/>
      <w:r>
        <w:rPr>
          <w:rFonts w:hint="default"/>
          <w:lang w:val="en-US" w:eastAsia="zh-CN"/>
        </w:rPr>
        <w:t xml:space="preserve"> </w:t>
      </w:r>
    </w:p>
    <w:p w14:paraId="650014D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）《山西省突发环境事件应急预案》；</w:t>
      </w:r>
    </w:p>
    <w:p w14:paraId="0A14852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lang w:val="en-US" w:eastAsia="zh-CN"/>
        </w:rPr>
        <w:t>2</w:t>
      </w:r>
      <w:r>
        <w:rPr>
          <w:rFonts w:hint="default"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lang w:eastAsia="zh-CN"/>
        </w:rPr>
        <w:t>吕梁市</w:t>
      </w:r>
      <w:r>
        <w:rPr>
          <w:rFonts w:hint="default" w:ascii="Times New Roman" w:hAnsi="Times New Roman" w:eastAsia="仿宋" w:cs="Times New Roman"/>
          <w:sz w:val="28"/>
          <w:szCs w:val="28"/>
          <w:highlight w:val="none"/>
        </w:rPr>
        <w:t>突发环境事件应急预案》；</w:t>
      </w:r>
    </w:p>
    <w:p w14:paraId="39C25E4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eastAsia" w:ascii="Times New Roman" w:hAnsi="Times New Roman" w:eastAsia="仿宋" w:cs="Times New Roman"/>
          <w:sz w:val="28"/>
          <w:szCs w:val="28"/>
          <w:highlight w:val="yellow"/>
          <w:lang w:val="en-US" w:eastAsia="zh-CN"/>
        </w:rPr>
      </w:pPr>
      <w:r>
        <w:rPr>
          <w:rFonts w:hint="default" w:ascii="Times New Roman" w:hAnsi="Times New Roman" w:eastAsia="仿宋" w:cs="Times New Roman"/>
          <w:sz w:val="28"/>
          <w:szCs w:val="28"/>
          <w:highlight w:val="none"/>
        </w:rPr>
        <w:t>（3）《</w:t>
      </w:r>
      <w:r>
        <w:rPr>
          <w:rFonts w:hint="eastAsia" w:ascii="Times New Roman" w:hAnsi="Times New Roman" w:eastAsia="仿宋" w:cs="Times New Roman"/>
          <w:sz w:val="28"/>
          <w:szCs w:val="28"/>
          <w:highlight w:val="none"/>
          <w:lang w:eastAsia="zh-CN"/>
        </w:rPr>
        <w:t>汾阳市</w:t>
      </w:r>
      <w:r>
        <w:rPr>
          <w:rFonts w:hint="default" w:ascii="Times New Roman" w:hAnsi="Times New Roman" w:eastAsia="仿宋" w:cs="Times New Roman"/>
          <w:sz w:val="28"/>
          <w:szCs w:val="28"/>
          <w:highlight w:val="none"/>
        </w:rPr>
        <w:t>突发环境事件应急预案》</w:t>
      </w:r>
      <w:r>
        <w:rPr>
          <w:rFonts w:hint="eastAsia" w:ascii="Times New Roman" w:hAnsi="Times New Roman" w:eastAsia="仿宋" w:cs="Times New Roman"/>
          <w:sz w:val="28"/>
          <w:szCs w:val="28"/>
          <w:highlight w:val="none"/>
          <w:lang w:eastAsia="zh-CN"/>
        </w:rPr>
        <w:t>。</w:t>
      </w:r>
    </w:p>
    <w:p w14:paraId="4A9F8AC4">
      <w:pPr>
        <w:pStyle w:val="3"/>
        <w:bidi w:val="0"/>
        <w:rPr>
          <w:rFonts w:hint="default"/>
          <w:lang w:val="en-US" w:eastAsia="zh-CN"/>
        </w:rPr>
      </w:pPr>
      <w:bookmarkStart w:id="13" w:name="_Toc28908"/>
      <w:bookmarkStart w:id="14" w:name="_Toc13585"/>
      <w:r>
        <w:rPr>
          <w:rFonts w:hint="default"/>
          <w:lang w:val="en-US" w:eastAsia="zh-CN"/>
        </w:rPr>
        <w:t>1.3 预案衔接</w:t>
      </w:r>
      <w:bookmarkEnd w:id="13"/>
      <w:bookmarkEnd w:id="14"/>
      <w:r>
        <w:rPr>
          <w:rFonts w:hint="default"/>
          <w:lang w:val="en-US" w:eastAsia="zh-CN"/>
        </w:rPr>
        <w:t xml:space="preserve"> </w:t>
      </w:r>
    </w:p>
    <w:p w14:paraId="4185DA3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本预案为《</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突发环境事件应急预案》的子预案，是集中式饮用水水源地突发环境事件专项应急预案。</w:t>
      </w:r>
    </w:p>
    <w:p w14:paraId="17A8C63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本预案与《</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突发环境事件应急预案》、《</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突发环境事件应急预案》及</w:t>
      </w:r>
      <w:r>
        <w:rPr>
          <w:rFonts w:hint="eastAsia" w:cs="Times New Roman"/>
          <w:sz w:val="28"/>
          <w:szCs w:val="28"/>
          <w:lang w:eastAsia="zh-CN"/>
        </w:rPr>
        <w:t>相关部门</w:t>
      </w:r>
      <w:r>
        <w:rPr>
          <w:rFonts w:hint="default" w:ascii="Times New Roman" w:hAnsi="Times New Roman" w:eastAsia="仿宋" w:cs="Times New Roman"/>
          <w:sz w:val="28"/>
          <w:szCs w:val="28"/>
        </w:rPr>
        <w:t>其他相关预案在组织指挥体系、适用的地域范围、预警分级、信息报告、应急保障等方面进行衔接，确保突发环境事件的应急组织指挥方式协调一致。启动本水源地应急预案后，由应急指挥部统一指挥，各成员单位相互协调，保持联动，并确保联动的及时性、迅速性、可行性、有效性。</w:t>
      </w:r>
    </w:p>
    <w:p w14:paraId="4708D1B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预案所涉及水源地位于磁窑河，汾河水系，当磁窑河（汾阳段）突发水污染事件环境应急响应方案或“一河一策一图”环境应急响应方案启动时，需关注事故地点是否涉及潜水型水源地水源补给区，若涉及则启动本水源地应急预案，由应急指挥部统一指挥。</w:t>
      </w:r>
    </w:p>
    <w:p w14:paraId="7DB195E6">
      <w:pPr>
        <w:pStyle w:val="3"/>
        <w:bidi w:val="0"/>
        <w:rPr>
          <w:rFonts w:hint="default"/>
          <w:lang w:val="en-US" w:eastAsia="zh-CN"/>
        </w:rPr>
      </w:pPr>
      <w:bookmarkStart w:id="15" w:name="_Toc28113"/>
      <w:bookmarkStart w:id="16" w:name="_Toc28069"/>
      <w:r>
        <w:rPr>
          <w:rFonts w:hint="default"/>
          <w:lang w:val="en-US" w:eastAsia="zh-CN"/>
        </w:rPr>
        <w:t>1.4适用范围</w:t>
      </w:r>
      <w:bookmarkEnd w:id="15"/>
      <w:bookmarkEnd w:id="16"/>
    </w:p>
    <w:p w14:paraId="59855A6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本预案适用于</w:t>
      </w:r>
      <w:r>
        <w:rPr>
          <w:rFonts w:hint="eastAsia" w:ascii="Times New Roman" w:hAnsi="Times New Roman" w:eastAsia="仿宋" w:cs="Times New Roman"/>
          <w:sz w:val="28"/>
          <w:szCs w:val="28"/>
          <w:lang w:val="en-US" w:eastAsia="zh-CN"/>
        </w:rPr>
        <w:t>汾阳市</w:t>
      </w:r>
      <w:r>
        <w:rPr>
          <w:rFonts w:hint="default" w:ascii="Times New Roman" w:hAnsi="Times New Roman" w:eastAsia="仿宋" w:cs="Times New Roman"/>
          <w:sz w:val="28"/>
          <w:szCs w:val="28"/>
          <w:lang w:val="en-US" w:eastAsia="zh-CN"/>
        </w:rPr>
        <w:t>内</w:t>
      </w:r>
      <w:r>
        <w:rPr>
          <w:rFonts w:hint="eastAsia" w:ascii="Times New Roman" w:hAnsi="Times New Roman" w:eastAsia="仿宋" w:cs="Times New Roman"/>
          <w:sz w:val="28"/>
          <w:szCs w:val="28"/>
          <w:lang w:val="en-US" w:eastAsia="zh-CN"/>
        </w:rPr>
        <w:t>1</w:t>
      </w:r>
      <w:r>
        <w:rPr>
          <w:rFonts w:hint="eastAsia" w:cs="Times New Roman"/>
          <w:sz w:val="28"/>
          <w:szCs w:val="28"/>
          <w:lang w:val="en-US" w:eastAsia="zh-CN"/>
        </w:rPr>
        <w:t>0</w:t>
      </w:r>
      <w:r>
        <w:rPr>
          <w:rFonts w:hint="default" w:ascii="Times New Roman" w:hAnsi="Times New Roman" w:eastAsia="仿宋" w:cs="Times New Roman"/>
          <w:sz w:val="28"/>
          <w:szCs w:val="28"/>
          <w:lang w:val="en-US" w:eastAsia="zh-CN"/>
        </w:rPr>
        <w:t>个乡镇</w:t>
      </w:r>
      <w:r>
        <w:rPr>
          <w:rFonts w:hint="eastAsia" w:cs="Times New Roman"/>
          <w:sz w:val="28"/>
          <w:szCs w:val="28"/>
          <w:lang w:val="en-US" w:eastAsia="zh-CN"/>
        </w:rPr>
        <w:t>集中式饮用</w:t>
      </w:r>
      <w:r>
        <w:rPr>
          <w:rFonts w:hint="default" w:ascii="Times New Roman" w:hAnsi="Times New Roman" w:eastAsia="仿宋" w:cs="Times New Roman"/>
          <w:sz w:val="28"/>
          <w:szCs w:val="28"/>
          <w:lang w:val="en-US" w:eastAsia="zh-CN"/>
        </w:rPr>
        <w:t>水源的突发环境事件的预警和应急处置等工作。超出应急预案应急范围时，则与</w:t>
      </w:r>
      <w:r>
        <w:rPr>
          <w:rFonts w:hint="eastAsia" w:cs="Times New Roman"/>
          <w:sz w:val="28"/>
          <w:szCs w:val="28"/>
          <w:lang w:val="en-US" w:eastAsia="zh-CN"/>
        </w:rPr>
        <w:t>汾阳市人民政府</w:t>
      </w:r>
      <w:r>
        <w:rPr>
          <w:rFonts w:hint="default" w:ascii="Times New Roman" w:hAnsi="Times New Roman" w:eastAsia="仿宋" w:cs="Times New Roman"/>
          <w:sz w:val="28"/>
          <w:szCs w:val="28"/>
          <w:lang w:val="en-US" w:eastAsia="zh-CN"/>
        </w:rPr>
        <w:t>发布的突发环境事件专项应急预案衔接。当突发环境事件应急预案启动后，本预案视情启动或辅助执行。</w:t>
      </w:r>
    </w:p>
    <w:p w14:paraId="719DBC8A">
      <w:pPr>
        <w:pStyle w:val="3"/>
        <w:keepNext/>
        <w:keepLines/>
        <w:pageBreakBefore w:val="0"/>
        <w:widowControl/>
        <w:kinsoku/>
        <w:wordWrap/>
        <w:overflowPunct/>
        <w:topLinePunct w:val="0"/>
        <w:autoSpaceDE/>
        <w:autoSpaceDN/>
        <w:bidi w:val="0"/>
        <w:adjustRightInd w:val="0"/>
        <w:snapToGrid w:val="0"/>
        <w:textAlignment w:val="auto"/>
        <w:rPr>
          <w:rFonts w:hint="default"/>
        </w:rPr>
      </w:pPr>
      <w:bookmarkStart w:id="17" w:name="_Toc20840"/>
      <w:bookmarkStart w:id="18" w:name="_Toc24574"/>
      <w:r>
        <w:rPr>
          <w:rFonts w:hint="default"/>
        </w:rPr>
        <w:t>1.</w:t>
      </w:r>
      <w:r>
        <w:rPr>
          <w:rFonts w:hint="default"/>
          <w:lang w:val="en-US" w:eastAsia="zh-CN"/>
        </w:rPr>
        <w:t>5</w:t>
      </w:r>
      <w:r>
        <w:rPr>
          <w:rFonts w:hint="default"/>
        </w:rPr>
        <w:t xml:space="preserve"> 工作原则</w:t>
      </w:r>
      <w:bookmarkEnd w:id="17"/>
      <w:bookmarkEnd w:id="18"/>
    </w:p>
    <w:p w14:paraId="264151C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在建立突发性环境事件应急系统及其响应程序时，应本着实事求是、切实可行的方针，贯彻如下原则：</w:t>
      </w:r>
    </w:p>
    <w:p w14:paraId="38226C3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系统性原则。编制水源地应急预案，应全面掌握和分析行政区域内水源地的风险源信息、可能发生的突发环境事件情景和应急资源状况，逐一梳理明确各部门应对突发环境事件的工作职责、应急流程和任务分工，有效提升政府和</w:t>
      </w:r>
      <w:r>
        <w:rPr>
          <w:rFonts w:hint="eastAsia" w:cs="Times New Roman"/>
          <w:sz w:val="28"/>
          <w:szCs w:val="28"/>
          <w:lang w:eastAsia="zh-CN"/>
        </w:rPr>
        <w:t>相关部门</w:t>
      </w:r>
      <w:r>
        <w:rPr>
          <w:rFonts w:hint="default" w:ascii="Times New Roman" w:hAnsi="Times New Roman" w:eastAsia="仿宋" w:cs="Times New Roman"/>
          <w:sz w:val="28"/>
          <w:szCs w:val="28"/>
        </w:rPr>
        <w:t>的应急准备能力与应急处置能力。</w:t>
      </w:r>
    </w:p>
    <w:p w14:paraId="7E7C47E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针对性原则。编制水源地应急预案，应在全面调查和了解行政区域内水源地环境风险状况的基础上，针对不同类型的水源地、面临的不同环境风险，以及可能发生的突发环境事件情景，制定切实有效的应急处置措施。</w:t>
      </w:r>
    </w:p>
    <w:p w14:paraId="4F270B2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）协调性原则。水源地应急预案，应作为</w:t>
      </w:r>
      <w:r>
        <w:rPr>
          <w:rFonts w:hint="eastAsia" w:ascii="Times New Roman" w:hAnsi="Times New Roman" w:cs="Times New Roman"/>
          <w:sz w:val="28"/>
          <w:szCs w:val="28"/>
          <w:lang w:eastAsia="zh-CN"/>
        </w:rPr>
        <w:t>汾阳</w:t>
      </w:r>
      <w:r>
        <w:rPr>
          <w:rFonts w:hint="eastAsia" w:cs="Times New Roman"/>
          <w:sz w:val="28"/>
          <w:szCs w:val="28"/>
          <w:lang w:val="en-US" w:eastAsia="zh-CN"/>
        </w:rPr>
        <w:t>县级</w:t>
      </w:r>
      <w:r>
        <w:rPr>
          <w:rFonts w:hint="default" w:ascii="Times New Roman" w:hAnsi="Times New Roman" w:eastAsia="仿宋" w:cs="Times New Roman"/>
          <w:sz w:val="28"/>
          <w:szCs w:val="28"/>
        </w:rPr>
        <w:t>人民政府突发事件应急预案编制体系的重要组成部分，水源地应急预案与行政区域内的企业突发环境事件应急预案、道路交通事故应急预案等</w:t>
      </w:r>
      <w:r>
        <w:rPr>
          <w:rFonts w:hint="eastAsia" w:ascii="Times New Roman" w:hAnsi="Times New Roman" w:eastAsia="仿宋" w:cs="Times New Roman"/>
          <w:sz w:val="28"/>
          <w:szCs w:val="28"/>
          <w:lang w:val="en-US" w:eastAsia="zh-CN"/>
        </w:rPr>
        <w:t>预案</w:t>
      </w:r>
      <w:r>
        <w:rPr>
          <w:rFonts w:hint="default" w:ascii="Times New Roman" w:hAnsi="Times New Roman" w:eastAsia="仿宋" w:cs="Times New Roman"/>
          <w:sz w:val="28"/>
          <w:szCs w:val="28"/>
        </w:rPr>
        <w:t>有机衔接。</w:t>
      </w:r>
    </w:p>
    <w:p w14:paraId="21EA5CF6">
      <w:pPr>
        <w:pStyle w:val="13"/>
        <w:rPr>
          <w:rFonts w:hint="default" w:eastAsia="仿宋"/>
          <w:lang w:val="en-US" w:eastAsia="zh-CN"/>
        </w:rPr>
      </w:pPr>
    </w:p>
    <w:p w14:paraId="5A7975FB">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108DE5E9">
      <w:pPr>
        <w:pStyle w:val="2"/>
        <w:bidi w:val="0"/>
        <w:rPr>
          <w:rFonts w:hint="default"/>
        </w:rPr>
      </w:pPr>
      <w:bookmarkStart w:id="19" w:name="_Toc6298"/>
      <w:bookmarkStart w:id="20" w:name="_Toc20552"/>
      <w:r>
        <w:rPr>
          <w:rFonts w:hint="default"/>
        </w:rPr>
        <w:t>第二章 饮用水水源概况</w:t>
      </w:r>
      <w:bookmarkEnd w:id="19"/>
      <w:bookmarkEnd w:id="20"/>
    </w:p>
    <w:p w14:paraId="6E7172FA">
      <w:pPr>
        <w:pStyle w:val="3"/>
        <w:bidi w:val="0"/>
        <w:rPr>
          <w:rFonts w:hint="default"/>
        </w:rPr>
      </w:pPr>
      <w:bookmarkStart w:id="21" w:name="_Toc28000"/>
      <w:bookmarkStart w:id="22" w:name="_Toc21513"/>
      <w:r>
        <w:rPr>
          <w:rFonts w:hint="default"/>
        </w:rPr>
        <w:t>2.1 水源建设工程概况</w:t>
      </w:r>
      <w:bookmarkEnd w:id="21"/>
      <w:bookmarkEnd w:id="22"/>
      <w:r>
        <w:rPr>
          <w:rFonts w:hint="default"/>
        </w:rPr>
        <w:t xml:space="preserve"> </w:t>
      </w:r>
    </w:p>
    <w:p w14:paraId="1CC34B2B">
      <w:pPr>
        <w:bidi w:val="0"/>
        <w:rPr>
          <w:rFonts w:hint="default"/>
          <w:b/>
          <w:bCs/>
          <w:lang w:val="en-US" w:eastAsia="zh-CN"/>
        </w:rPr>
      </w:pPr>
      <w:r>
        <w:rPr>
          <w:rFonts w:hint="eastAsia"/>
          <w:b/>
          <w:bCs/>
          <w:lang w:val="en-US" w:eastAsia="zh-CN"/>
        </w:rPr>
        <w:t>1.贾家庄镇</w:t>
      </w:r>
      <w:r>
        <w:rPr>
          <w:rFonts w:hint="default"/>
          <w:b/>
          <w:bCs/>
          <w:lang w:val="en-US" w:eastAsia="zh-CN"/>
        </w:rPr>
        <w:t>集中供水水源</w:t>
      </w:r>
    </w:p>
    <w:p w14:paraId="2DB493B5">
      <w:pPr>
        <w:bidi w:val="0"/>
        <w:rPr>
          <w:rFonts w:hint="default"/>
          <w:lang w:val="en-US" w:eastAsia="zh-CN"/>
        </w:rPr>
      </w:pPr>
      <w:r>
        <w:rPr>
          <w:rFonts w:hint="default"/>
          <w:lang w:val="en-US" w:eastAsia="zh-CN"/>
        </w:rPr>
        <w:t>贾家庄镇集中供水水源位于贾家庄镇贾家庄村，有1眼供水井。2003年10月投入运行，供水量为20万m</w:t>
      </w:r>
      <w:r>
        <w:rPr>
          <w:rFonts w:hint="eastAsia"/>
          <w:vertAlign w:val="superscript"/>
          <w:lang w:val="en-US" w:eastAsia="zh-CN"/>
        </w:rPr>
        <w:t>3</w:t>
      </w:r>
      <w:r>
        <w:rPr>
          <w:rFonts w:hint="eastAsia"/>
          <w:lang w:val="en-US" w:eastAsia="zh-CN"/>
        </w:rPr>
        <w:t>/</w:t>
      </w:r>
      <w:r>
        <w:rPr>
          <w:rFonts w:hint="default"/>
          <w:lang w:val="en-US" w:eastAsia="zh-CN"/>
        </w:rPr>
        <w:t>a。现有水源井1眼，配有加压泵、蓄水池，通过加压将水注入蓄水池，后通过管网送到用户院内。</w:t>
      </w:r>
      <w:r>
        <w:rPr>
          <w:rFonts w:hint="eastAsia"/>
          <w:lang w:val="en-US" w:eastAsia="zh-CN"/>
        </w:rPr>
        <w:t>服务对象为贾家庄村等4个村、镇政府，服务人口为5000人。</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E20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center"/>
          </w:tcPr>
          <w:p w14:paraId="7A3D0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45" name="图片 1" descr="IMG_20250702_1626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IMG_20250702_162636881"/>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tc>
      </w:tr>
      <w:tr w14:paraId="5FEC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center"/>
          </w:tcPr>
          <w:p w14:paraId="43882F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贾家庄镇集中供水水源</w:t>
            </w:r>
          </w:p>
        </w:tc>
      </w:tr>
    </w:tbl>
    <w:p w14:paraId="503B3826">
      <w:pPr>
        <w:bidi w:val="0"/>
        <w:rPr>
          <w:rFonts w:hint="default"/>
          <w:b/>
          <w:bCs/>
          <w:lang w:val="en-US" w:eastAsia="zh-CN"/>
        </w:rPr>
      </w:pPr>
      <w:r>
        <w:rPr>
          <w:rFonts w:hint="eastAsia"/>
          <w:b/>
          <w:bCs/>
          <w:lang w:val="en-US" w:eastAsia="zh-CN"/>
        </w:rPr>
        <w:t>2.杏花村镇集中</w:t>
      </w:r>
      <w:r>
        <w:rPr>
          <w:rFonts w:hint="default"/>
          <w:b/>
          <w:bCs/>
          <w:lang w:val="en-US" w:eastAsia="zh-CN"/>
        </w:rPr>
        <w:t>供水水源</w:t>
      </w:r>
    </w:p>
    <w:p w14:paraId="35F2C44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杏花村镇集中供水水源有2个集中供水井，均位于</w:t>
      </w:r>
      <w:r>
        <w:rPr>
          <w:rFonts w:hint="eastAsia"/>
          <w:lang w:val="en-US" w:eastAsia="zh-CN"/>
        </w:rPr>
        <w:t>杏花村</w:t>
      </w:r>
      <w:r>
        <w:rPr>
          <w:rFonts w:hint="default"/>
          <w:lang w:val="en-US" w:eastAsia="zh-CN"/>
        </w:rPr>
        <w:t>镇，该井开采第四系中、下更新统孔隙水，也称为开采第二、第三承压水含水岩组孔隙水。配有加压泵、水塔，通过加压将水注入水塔，后通过管网送到用户院内，实现供水。</w:t>
      </w:r>
      <w:r>
        <w:rPr>
          <w:rFonts w:hint="eastAsia"/>
          <w:lang w:val="en-US" w:eastAsia="zh-CN"/>
        </w:rPr>
        <w:t>设计取水量为600m</w:t>
      </w:r>
      <w:r>
        <w:rPr>
          <w:rFonts w:hint="eastAsia"/>
          <w:vertAlign w:val="superscript"/>
          <w:lang w:val="en-US" w:eastAsia="zh-CN"/>
        </w:rPr>
        <w:t>3</w:t>
      </w:r>
      <w:r>
        <w:rPr>
          <w:rFonts w:hint="eastAsia"/>
          <w:lang w:val="en-US" w:eastAsia="zh-CN"/>
        </w:rPr>
        <w:t>/d，实际取水量为480m</w:t>
      </w:r>
      <w:r>
        <w:rPr>
          <w:rFonts w:hint="eastAsia"/>
          <w:vertAlign w:val="superscript"/>
          <w:lang w:val="en-US" w:eastAsia="zh-CN"/>
        </w:rPr>
        <w:t>3</w:t>
      </w:r>
      <w:r>
        <w:rPr>
          <w:rFonts w:hint="eastAsia"/>
          <w:lang w:val="en-US" w:eastAsia="zh-CN"/>
        </w:rPr>
        <w:t>/d，服务人口4000人。</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97F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center"/>
          </w:tcPr>
          <w:p w14:paraId="7D475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drawing>
                <wp:inline distT="0" distB="0" distL="114300" distR="114300">
                  <wp:extent cx="5272405" cy="2794000"/>
                  <wp:effectExtent l="0" t="0" r="4445"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5"/>
                          <a:srcRect t="9076" b="10249"/>
                          <a:stretch>
                            <a:fillRect/>
                          </a:stretch>
                        </pic:blipFill>
                        <pic:spPr>
                          <a:xfrm>
                            <a:off x="0" y="0"/>
                            <a:ext cx="5272405" cy="2794000"/>
                          </a:xfrm>
                          <a:prstGeom prst="rect">
                            <a:avLst/>
                          </a:prstGeom>
                          <a:noFill/>
                          <a:ln>
                            <a:noFill/>
                          </a:ln>
                        </pic:spPr>
                      </pic:pic>
                    </a:graphicData>
                  </a:graphic>
                </wp:inline>
              </w:drawing>
            </w:r>
          </w:p>
        </w:tc>
      </w:tr>
      <w:tr w14:paraId="7C5D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center"/>
          </w:tcPr>
          <w:p w14:paraId="2A631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杏花村镇集中供水水源</w:t>
            </w:r>
          </w:p>
        </w:tc>
      </w:tr>
    </w:tbl>
    <w:p w14:paraId="0BB2C5C8">
      <w:pPr>
        <w:bidi w:val="0"/>
        <w:rPr>
          <w:rFonts w:hint="default"/>
          <w:b/>
          <w:bCs/>
          <w:lang w:val="en-US" w:eastAsia="zh-CN"/>
        </w:rPr>
      </w:pPr>
      <w:r>
        <w:rPr>
          <w:rFonts w:hint="eastAsia"/>
          <w:b/>
          <w:bCs/>
          <w:lang w:val="en-US" w:eastAsia="zh-CN"/>
        </w:rPr>
        <w:t>3.冀村镇</w:t>
      </w:r>
      <w:r>
        <w:rPr>
          <w:rFonts w:hint="default"/>
          <w:b/>
          <w:bCs/>
          <w:lang w:val="en-US" w:eastAsia="zh-CN"/>
        </w:rPr>
        <w:t>集中供水水源</w:t>
      </w:r>
    </w:p>
    <w:p w14:paraId="6E1A2090">
      <w:pPr>
        <w:bidi w:val="0"/>
        <w:rPr>
          <w:rFonts w:hint="default"/>
          <w:lang w:val="en-US" w:eastAsia="zh-CN"/>
        </w:rPr>
      </w:pPr>
      <w:r>
        <w:rPr>
          <w:rFonts w:hint="default"/>
          <w:lang w:val="en-US" w:eastAsia="zh-CN"/>
        </w:rPr>
        <w:t>冀村镇集中供水水源供水井位于冀村村北</w:t>
      </w:r>
      <w:r>
        <w:rPr>
          <w:rFonts w:hint="eastAsia"/>
          <w:lang w:val="en-US" w:eastAsia="zh-CN"/>
        </w:rPr>
        <w:t>，</w:t>
      </w:r>
      <w:r>
        <w:rPr>
          <w:rFonts w:hint="default"/>
          <w:lang w:val="en-US" w:eastAsia="zh-CN"/>
        </w:rPr>
        <w:t>商业街中段路东旧乡机电站门口街道上，井口标高861m，水文地质单元属于盆地区冲洪积倾斜平原区，地下水类型属于松散岩类孔隙水</w:t>
      </w:r>
      <w:r>
        <w:rPr>
          <w:rFonts w:hint="eastAsia"/>
          <w:lang w:val="en-US" w:eastAsia="zh-CN"/>
        </w:rPr>
        <w:t>，</w:t>
      </w:r>
      <w:r>
        <w:rPr>
          <w:rFonts w:hint="default"/>
          <w:lang w:val="en-US" w:eastAsia="zh-CN"/>
        </w:rPr>
        <w:t>设计供水量为</w:t>
      </w:r>
      <w:r>
        <w:rPr>
          <w:rFonts w:hint="eastAsia"/>
          <w:lang w:val="en-US" w:eastAsia="zh-CN"/>
        </w:rPr>
        <w:t>840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，实际供水量为800</w:t>
      </w:r>
      <w:r>
        <w:rPr>
          <w:rFonts w:hint="default"/>
          <w:lang w:val="en-US" w:eastAsia="zh-CN"/>
        </w:rPr>
        <w:t>m</w:t>
      </w:r>
      <w:r>
        <w:rPr>
          <w:rFonts w:hint="default"/>
          <w:vertAlign w:val="superscript"/>
          <w:lang w:val="en-US" w:eastAsia="zh-CN"/>
        </w:rPr>
        <w:t>3</w:t>
      </w:r>
      <w:r>
        <w:rPr>
          <w:rFonts w:hint="default"/>
          <w:lang w:val="en-US" w:eastAsia="zh-CN"/>
        </w:rPr>
        <w:t>/d。服务对象</w:t>
      </w:r>
      <w:r>
        <w:rPr>
          <w:rFonts w:hint="eastAsia"/>
          <w:lang w:val="en-US" w:eastAsia="zh-CN"/>
        </w:rPr>
        <w:t>为</w:t>
      </w:r>
      <w:r>
        <w:rPr>
          <w:rFonts w:hint="eastAsia"/>
          <w:kern w:val="0"/>
          <w:szCs w:val="21"/>
        </w:rPr>
        <w:t>镇政府、冀村等村、学校及驻地企事业单位</w:t>
      </w:r>
      <w:r>
        <w:rPr>
          <w:rFonts w:hint="default"/>
          <w:lang w:val="en-US" w:eastAsia="zh-CN"/>
        </w:rPr>
        <w:t>，服务人口</w:t>
      </w:r>
      <w:r>
        <w:rPr>
          <w:rFonts w:hint="eastAsia"/>
          <w:lang w:val="en-US" w:eastAsia="zh-CN"/>
        </w:rPr>
        <w:t>10000</w:t>
      </w:r>
      <w:r>
        <w:rPr>
          <w:rFonts w:hint="default"/>
          <w:lang w:val="en-US" w:eastAsia="zh-CN"/>
        </w:rPr>
        <w:t>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33C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04E827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42" name="图片 3" descr="IMG_20250701_1000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IMG_20250701_100044822"/>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tc>
      </w:tr>
      <w:tr w14:paraId="198E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7C1B1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冀村镇集中供水水源</w:t>
            </w:r>
          </w:p>
        </w:tc>
      </w:tr>
    </w:tbl>
    <w:p w14:paraId="60759A71">
      <w:pPr>
        <w:bidi w:val="0"/>
        <w:rPr>
          <w:rFonts w:hint="eastAsia"/>
          <w:b/>
          <w:bCs/>
          <w:lang w:val="en-US" w:eastAsia="zh-CN"/>
        </w:rPr>
        <w:sectPr>
          <w:footerReference r:id="rId7" w:type="default"/>
          <w:pgSz w:w="11906" w:h="16838"/>
          <w:pgMar w:top="1440" w:right="1800" w:bottom="1440" w:left="1800" w:header="851" w:footer="794"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0103EA7D">
      <w:pPr>
        <w:bidi w:val="0"/>
        <w:rPr>
          <w:rFonts w:hint="default"/>
          <w:b/>
          <w:bCs/>
          <w:lang w:val="en-US" w:eastAsia="zh-CN"/>
        </w:rPr>
      </w:pPr>
      <w:r>
        <w:rPr>
          <w:rFonts w:hint="eastAsia"/>
          <w:b/>
          <w:bCs/>
          <w:lang w:val="en-US" w:eastAsia="zh-CN"/>
        </w:rPr>
        <w:t>4.肖家庄镇</w:t>
      </w:r>
      <w:r>
        <w:rPr>
          <w:rFonts w:hint="default"/>
          <w:b/>
          <w:bCs/>
          <w:lang w:val="en-US" w:eastAsia="zh-CN"/>
        </w:rPr>
        <w:t>集中供水水源</w:t>
      </w:r>
    </w:p>
    <w:p w14:paraId="7FE5D89F">
      <w:pPr>
        <w:bidi w:val="0"/>
        <w:jc w:val="both"/>
        <w:rPr>
          <w:rFonts w:hint="default" w:eastAsia="仿宋"/>
          <w:lang w:val="en-US" w:eastAsia="zh-CN"/>
        </w:rPr>
      </w:pPr>
      <w:r>
        <w:rPr>
          <w:rFonts w:hint="default"/>
          <w:lang w:val="en-US" w:eastAsia="zh-CN"/>
        </w:rPr>
        <w:t>肖家庄镇集中供水水源包括2个集中供水井，均位于栗家庄</w:t>
      </w:r>
      <w:r>
        <w:rPr>
          <w:rFonts w:hint="eastAsia"/>
          <w:lang w:val="en-US" w:eastAsia="zh-CN"/>
        </w:rPr>
        <w:t>镇</w:t>
      </w:r>
      <w:r>
        <w:rPr>
          <w:rFonts w:hint="default"/>
          <w:lang w:val="en-US" w:eastAsia="zh-CN"/>
        </w:rPr>
        <w:t>栗家庄村，地貌单元为黄土丘陵区，地下水类型属于松散岩类埋藏型岩溶水，岩溶水归属于郭庄泉域北端补给区。设计供水量为</w:t>
      </w:r>
      <w:r>
        <w:rPr>
          <w:rFonts w:hint="eastAsia"/>
          <w:lang w:val="en-US" w:eastAsia="zh-CN"/>
        </w:rPr>
        <w:t>1640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，实际供水量为1200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，服务对象为</w:t>
      </w:r>
      <w:r>
        <w:rPr>
          <w:rFonts w:hint="eastAsia"/>
          <w:kern w:val="0"/>
          <w:szCs w:val="21"/>
        </w:rPr>
        <w:t>镇政府、肖家庄村等村、学校及驻地企事业单位</w:t>
      </w:r>
      <w:r>
        <w:rPr>
          <w:rFonts w:hint="eastAsia"/>
          <w:kern w:val="0"/>
          <w:szCs w:val="21"/>
          <w:lang w:eastAsia="zh-CN"/>
        </w:rPr>
        <w:t>，</w:t>
      </w:r>
      <w:r>
        <w:rPr>
          <w:rFonts w:hint="eastAsia"/>
          <w:kern w:val="0"/>
          <w:szCs w:val="21"/>
          <w:lang w:val="en-US" w:eastAsia="zh-CN"/>
        </w:rPr>
        <w:t>服务人口13500人。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F08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385AF5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49" name="图片 4" descr="IMG_20250702_16373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descr="IMG_20250702_163738292"/>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tc>
      </w:tr>
      <w:tr w14:paraId="4546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48468D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肖家庄集中供水水源</w:t>
            </w:r>
          </w:p>
        </w:tc>
      </w:tr>
    </w:tbl>
    <w:p w14:paraId="67D8B36B">
      <w:pPr>
        <w:bidi w:val="0"/>
        <w:rPr>
          <w:rFonts w:hint="default"/>
          <w:b/>
          <w:bCs/>
          <w:lang w:val="en-US" w:eastAsia="zh-CN"/>
        </w:rPr>
      </w:pPr>
      <w:r>
        <w:rPr>
          <w:rFonts w:hint="eastAsia"/>
          <w:b/>
          <w:bCs/>
          <w:lang w:val="en-US" w:eastAsia="zh-CN"/>
        </w:rPr>
        <w:t>5.演武镇</w:t>
      </w:r>
      <w:r>
        <w:rPr>
          <w:rFonts w:hint="default"/>
          <w:b/>
          <w:bCs/>
          <w:lang w:val="en-US" w:eastAsia="zh-CN"/>
        </w:rPr>
        <w:t>集中供水水源</w:t>
      </w:r>
    </w:p>
    <w:p w14:paraId="0B54E5CE">
      <w:pPr>
        <w:bidi w:val="0"/>
        <w:jc w:val="both"/>
        <w:rPr>
          <w:rFonts w:hint="default" w:eastAsia="仿宋"/>
          <w:lang w:val="en-US" w:eastAsia="zh-CN"/>
        </w:rPr>
      </w:pPr>
      <w:r>
        <w:rPr>
          <w:rFonts w:hint="default"/>
          <w:lang w:val="en-US" w:eastAsia="zh-CN"/>
        </w:rPr>
        <w:t>演武镇政府集中供水水源位于栗家庄乡栗家庄村，共有2个集中供水井，地貌单元为黄土丘陵，地下水类型属于松散岩类埋藏型岩溶水，岩溶水归属于郭庄泉域北端补给区</w:t>
      </w:r>
      <w:r>
        <w:rPr>
          <w:rFonts w:hint="eastAsia"/>
          <w:lang w:val="en-US" w:eastAsia="zh-CN"/>
        </w:rPr>
        <w:t>。</w:t>
      </w:r>
      <w:r>
        <w:rPr>
          <w:rFonts w:hint="default"/>
          <w:lang w:val="en-US" w:eastAsia="zh-CN"/>
        </w:rPr>
        <w:t>设计供水量为</w:t>
      </w:r>
      <w:r>
        <w:rPr>
          <w:rFonts w:hint="eastAsia"/>
          <w:lang w:val="en-US" w:eastAsia="zh-CN"/>
        </w:rPr>
        <w:t>1850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，实际供水量为1200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，服务对象为</w:t>
      </w:r>
      <w:r>
        <w:rPr>
          <w:rFonts w:hint="eastAsia"/>
          <w:kern w:val="0"/>
          <w:szCs w:val="21"/>
        </w:rPr>
        <w:t>镇政府、演武村等村、学校及驻地企事业单位</w:t>
      </w:r>
      <w:r>
        <w:rPr>
          <w:rFonts w:hint="eastAsia"/>
          <w:kern w:val="0"/>
          <w:szCs w:val="21"/>
          <w:lang w:eastAsia="zh-CN"/>
        </w:rPr>
        <w:t>，</w:t>
      </w:r>
      <w:r>
        <w:rPr>
          <w:rFonts w:hint="eastAsia"/>
          <w:kern w:val="0"/>
          <w:szCs w:val="21"/>
          <w:lang w:val="en-US" w:eastAsia="zh-CN"/>
        </w:rPr>
        <w:t>服务人口16000人。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CA1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26F64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28" name="图片 5" descr="IMG_20250702_16305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0250702_163052885"/>
                          <pic:cNvPicPr>
                            <a:picLocks noChangeAspect="1"/>
                          </pic:cNvPicPr>
                        </pic:nvPicPr>
                        <pic:blipFill>
                          <a:blip r:embed="rId28"/>
                          <a:stretch>
                            <a:fillRect/>
                          </a:stretch>
                        </pic:blipFill>
                        <pic:spPr>
                          <a:xfrm>
                            <a:off x="0" y="0"/>
                            <a:ext cx="5266690" cy="2962910"/>
                          </a:xfrm>
                          <a:prstGeom prst="rect">
                            <a:avLst/>
                          </a:prstGeom>
                          <a:noFill/>
                          <a:ln>
                            <a:noFill/>
                          </a:ln>
                        </pic:spPr>
                      </pic:pic>
                    </a:graphicData>
                  </a:graphic>
                </wp:inline>
              </w:drawing>
            </w:r>
          </w:p>
        </w:tc>
      </w:tr>
      <w:tr w14:paraId="1188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6F6BF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演武镇集中供水水源</w:t>
            </w:r>
          </w:p>
        </w:tc>
      </w:tr>
    </w:tbl>
    <w:p w14:paraId="5373A205">
      <w:pPr>
        <w:bidi w:val="0"/>
        <w:rPr>
          <w:rFonts w:hint="eastAsia" w:ascii="Times New Roman" w:hAnsi="Times New Roman" w:cs="Times New Roman"/>
          <w:b/>
          <w:bCs/>
          <w:lang w:val="en-US" w:eastAsia="zh-CN"/>
        </w:rPr>
      </w:pPr>
      <w:r>
        <w:rPr>
          <w:rFonts w:hint="eastAsia" w:ascii="Times New Roman" w:hAnsi="Times New Roman" w:cs="Times New Roman"/>
          <w:b/>
          <w:bCs/>
          <w:lang w:val="en-US" w:eastAsia="zh-CN"/>
        </w:rPr>
        <w:t>6、三泉镇集中供水水源</w:t>
      </w:r>
    </w:p>
    <w:p w14:paraId="68C0C06A">
      <w:pPr>
        <w:bidi w:val="0"/>
        <w:rPr>
          <w:rFonts w:hint="default" w:eastAsia="仿宋"/>
          <w:lang w:val="en-US" w:eastAsia="zh-CN"/>
        </w:rPr>
      </w:pPr>
      <w:r>
        <w:rPr>
          <w:rFonts w:hint="default"/>
          <w:lang w:val="en-US" w:eastAsia="zh-CN"/>
        </w:rPr>
        <w:t>三泉镇集中供水水源位于三泉镇员庄村南1km，崞村北偏西1km，未利用。井口标高861m，供水井位于独立供水站院内，周围为绿化带，地貌单元为黄土台塬，地下水类型属于松散岩类埋藏型岩溶水，岩溶水归属于郭庄泉域北端补给</w:t>
      </w:r>
      <w:r>
        <w:rPr>
          <w:rFonts w:hint="eastAsia"/>
          <w:lang w:val="en-US" w:eastAsia="zh-CN"/>
        </w:rPr>
        <w:t>，</w:t>
      </w:r>
      <w:r>
        <w:rPr>
          <w:rFonts w:hint="default"/>
          <w:lang w:val="en-US" w:eastAsia="zh-CN"/>
        </w:rPr>
        <w:t>设计供水量为</w:t>
      </w:r>
      <w:r>
        <w:rPr>
          <w:rFonts w:hint="eastAsia"/>
          <w:lang w:val="en-US" w:eastAsia="zh-CN"/>
        </w:rPr>
        <w:t>700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，实际供水量为700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，服务对象为</w:t>
      </w:r>
      <w:r>
        <w:rPr>
          <w:rFonts w:hint="eastAsia"/>
          <w:kern w:val="0"/>
          <w:szCs w:val="21"/>
          <w:lang w:val="en-US" w:eastAsia="zh-CN"/>
        </w:rPr>
        <w:t>员庄村、北榆苑村、任义庄村、张新堡村、赵家堡村、段家庄、仁道村、义丰南村、义丰北村等</w:t>
      </w:r>
      <w:r>
        <w:rPr>
          <w:rFonts w:hint="eastAsia"/>
          <w:kern w:val="0"/>
          <w:szCs w:val="21"/>
          <w:lang w:eastAsia="zh-CN"/>
        </w:rPr>
        <w:t>，</w:t>
      </w:r>
      <w:r>
        <w:rPr>
          <w:rFonts w:hint="eastAsia"/>
          <w:kern w:val="0"/>
          <w:szCs w:val="21"/>
          <w:lang w:val="en-US" w:eastAsia="zh-CN"/>
        </w:rPr>
        <w:t>服务人口10421人。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67B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72A57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3943985" cy="5258435"/>
                  <wp:effectExtent l="0" t="0" r="18415" b="18415"/>
                  <wp:docPr id="37" name="图片 6" descr="FDVK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FDVK8241"/>
                          <pic:cNvPicPr>
                            <a:picLocks noChangeAspect="1"/>
                          </pic:cNvPicPr>
                        </pic:nvPicPr>
                        <pic:blipFill>
                          <a:blip r:embed="rId29"/>
                          <a:stretch>
                            <a:fillRect/>
                          </a:stretch>
                        </pic:blipFill>
                        <pic:spPr>
                          <a:xfrm rot="5400000">
                            <a:off x="0" y="0"/>
                            <a:ext cx="3943985" cy="5258435"/>
                          </a:xfrm>
                          <a:prstGeom prst="rect">
                            <a:avLst/>
                          </a:prstGeom>
                          <a:noFill/>
                          <a:ln>
                            <a:noFill/>
                          </a:ln>
                        </pic:spPr>
                      </pic:pic>
                    </a:graphicData>
                  </a:graphic>
                </wp:inline>
              </w:drawing>
            </w:r>
          </w:p>
        </w:tc>
      </w:tr>
      <w:tr w14:paraId="57EA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7ACCA2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三泉镇集中供水水源</w:t>
            </w:r>
          </w:p>
        </w:tc>
      </w:tr>
    </w:tbl>
    <w:p w14:paraId="46A6BAE3">
      <w:pPr>
        <w:bidi w:val="0"/>
        <w:rPr>
          <w:rFonts w:hint="eastAsia" w:ascii="Times New Roman" w:hAnsi="Times New Roman" w:cs="Times New Roman"/>
          <w:b/>
          <w:bCs/>
          <w:lang w:val="en-US" w:eastAsia="zh-CN"/>
        </w:rPr>
      </w:pPr>
      <w:r>
        <w:rPr>
          <w:rFonts w:hint="eastAsia" w:cs="Times New Roman"/>
          <w:b/>
          <w:bCs/>
          <w:lang w:val="en-US" w:eastAsia="zh-CN"/>
        </w:rPr>
        <w:t>7</w:t>
      </w:r>
      <w:r>
        <w:rPr>
          <w:rFonts w:hint="eastAsia" w:ascii="Times New Roman" w:hAnsi="Times New Roman" w:cs="Times New Roman"/>
          <w:b/>
          <w:bCs/>
          <w:lang w:val="en-US" w:eastAsia="zh-CN"/>
        </w:rPr>
        <w:t>、杨家庄镇集中供水水源</w:t>
      </w:r>
    </w:p>
    <w:p w14:paraId="39E8AD9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杨家庄镇集中供水水源包括2个集中供水水井。地貌单元为盆地区，地下水类型属于松散岩类埋藏型岩溶水，岩溶水归属于郭庄泉域北端补给区。设计供水量为</w:t>
      </w:r>
      <w:r>
        <w:rPr>
          <w:rFonts w:hint="eastAsia"/>
          <w:lang w:val="en-US" w:eastAsia="zh-CN"/>
        </w:rPr>
        <w:t>700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，实际供水量为700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，服务对象为</w:t>
      </w:r>
      <w:r>
        <w:rPr>
          <w:rFonts w:hint="eastAsia"/>
        </w:rPr>
        <w:t>杨家庄村</w:t>
      </w:r>
      <w:r>
        <w:rPr>
          <w:rFonts w:hint="eastAsia"/>
          <w:lang w:eastAsia="zh-CN"/>
        </w:rPr>
        <w:t>、</w:t>
      </w:r>
      <w:r>
        <w:rPr>
          <w:rFonts w:hint="eastAsia"/>
          <w:lang w:val="en-US" w:eastAsia="zh-CN"/>
        </w:rPr>
        <w:t>庄子村、南偏城村、北偏城村、靳家庄村、中庄村、焉头村、南焉村等</w:t>
      </w:r>
      <w:r>
        <w:rPr>
          <w:rFonts w:hint="eastAsia"/>
          <w:lang w:eastAsia="zh-CN"/>
        </w:rPr>
        <w:t>，</w:t>
      </w:r>
      <w:r>
        <w:rPr>
          <w:rFonts w:hint="eastAsia"/>
          <w:lang w:val="en-US" w:eastAsia="zh-CN"/>
        </w:rPr>
        <w:t>服务人口为4041人。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0E4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5147E6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186045" cy="2917825"/>
                  <wp:effectExtent l="0" t="0" r="14605" b="15875"/>
                  <wp:docPr id="31" name="图片 13" descr="IMG_20250703_0939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IMG_20250703_093950857"/>
                          <pic:cNvPicPr>
                            <a:picLocks noChangeAspect="1"/>
                          </pic:cNvPicPr>
                        </pic:nvPicPr>
                        <pic:blipFill>
                          <a:blip r:embed="rId30"/>
                          <a:stretch>
                            <a:fillRect/>
                          </a:stretch>
                        </pic:blipFill>
                        <pic:spPr>
                          <a:xfrm>
                            <a:off x="0" y="0"/>
                            <a:ext cx="5186045" cy="2917825"/>
                          </a:xfrm>
                          <a:prstGeom prst="rect">
                            <a:avLst/>
                          </a:prstGeom>
                          <a:noFill/>
                          <a:ln>
                            <a:noFill/>
                          </a:ln>
                        </pic:spPr>
                      </pic:pic>
                    </a:graphicData>
                  </a:graphic>
                </wp:inline>
              </w:drawing>
            </w:r>
          </w:p>
        </w:tc>
      </w:tr>
      <w:tr w14:paraId="086A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02CF64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杨家庄镇集中供水水源</w:t>
            </w:r>
          </w:p>
        </w:tc>
      </w:tr>
    </w:tbl>
    <w:p w14:paraId="4EB88D24">
      <w:pPr>
        <w:bidi w:val="0"/>
        <w:rPr>
          <w:rFonts w:hint="default" w:ascii="Times New Roman" w:hAnsi="Times New Roman" w:cs="Times New Roman"/>
          <w:b/>
          <w:bCs/>
          <w:lang w:val="en-US" w:eastAsia="zh-CN"/>
        </w:rPr>
      </w:pPr>
      <w:r>
        <w:rPr>
          <w:rFonts w:hint="eastAsia" w:cs="Times New Roman"/>
          <w:b/>
          <w:bCs/>
          <w:lang w:val="en-US" w:eastAsia="zh-CN"/>
        </w:rPr>
        <w:t>8</w:t>
      </w:r>
      <w:r>
        <w:rPr>
          <w:rFonts w:hint="eastAsia" w:ascii="Times New Roman" w:hAnsi="Times New Roman" w:cs="Times New Roman"/>
          <w:b/>
          <w:bCs/>
          <w:lang w:val="en-US" w:eastAsia="zh-CN"/>
        </w:rPr>
        <w:t>、峪道河镇集中供水水源</w:t>
      </w:r>
    </w:p>
    <w:p w14:paraId="0F3ABBC5">
      <w:pPr>
        <w:keepNext w:val="0"/>
        <w:keepLines w:val="0"/>
        <w:pageBreakBefore w:val="0"/>
        <w:widowControl w:val="0"/>
        <w:kinsoku/>
        <w:wordWrap/>
        <w:overflowPunct/>
        <w:topLinePunct w:val="0"/>
        <w:autoSpaceDE/>
        <w:autoSpaceDN/>
        <w:bidi w:val="0"/>
        <w:adjustRightInd w:val="0"/>
        <w:snapToGrid w:val="0"/>
        <w:textAlignment w:val="auto"/>
        <w:rPr>
          <w:rFonts w:hint="default" w:eastAsia="仿宋"/>
          <w:lang w:val="en-US" w:eastAsia="zh-CN"/>
        </w:rPr>
      </w:pPr>
      <w:r>
        <w:rPr>
          <w:rFonts w:hint="default"/>
          <w:lang w:val="en-US" w:eastAsia="zh-CN"/>
        </w:rPr>
        <w:t>泉水出露水泉村西北，位于黄土丘陵边山脚下，供给峪道河镇、峪道河村、学校等单位饮用水源，泉水定名为水泉，泉水出露标高889m，泉水出露地点修建古老泉牌幅一座，引泉集水建筑物一座，封闭条件良好，泉水出露下游及周边为村庄，但无有人类污染现象，采用地形高差自流引水，利用PUC专用饮用水管4</w:t>
      </w:r>
      <w:r>
        <w:rPr>
          <w:rFonts w:hint="eastAsia"/>
          <w:lang w:val="en-US" w:eastAsia="zh-CN"/>
        </w:rPr>
        <w:t>寸</w:t>
      </w:r>
      <w:r>
        <w:rPr>
          <w:rFonts w:hint="default"/>
          <w:lang w:val="en-US" w:eastAsia="zh-CN"/>
        </w:rPr>
        <w:t>掩埋于冻土层1.5m以下，地貌单元属于边山黄土丘陵低山区。</w:t>
      </w:r>
      <w:r>
        <w:rPr>
          <w:rFonts w:hint="eastAsia"/>
          <w:lang w:val="en-US" w:eastAsia="zh-CN"/>
        </w:rPr>
        <w:t>服务对象为</w:t>
      </w:r>
      <w:r>
        <w:rPr>
          <w:rFonts w:hint="eastAsia"/>
          <w:kern w:val="0"/>
          <w:szCs w:val="21"/>
        </w:rPr>
        <w:t>镇政府、</w:t>
      </w:r>
      <w:r>
        <w:rPr>
          <w:rFonts w:hint="eastAsia"/>
          <w:kern w:val="0"/>
          <w:szCs w:val="21"/>
          <w:lang w:val="en-US" w:eastAsia="zh-CN"/>
        </w:rPr>
        <w:t>峪道河</w:t>
      </w:r>
      <w:r>
        <w:rPr>
          <w:rFonts w:hint="eastAsia"/>
          <w:kern w:val="0"/>
          <w:szCs w:val="21"/>
        </w:rPr>
        <w:t>村等村、学校及驻地企事业单位</w:t>
      </w:r>
      <w:r>
        <w:rPr>
          <w:rFonts w:hint="eastAsia"/>
          <w:kern w:val="0"/>
          <w:szCs w:val="21"/>
          <w:lang w:eastAsia="zh-CN"/>
        </w:rPr>
        <w:t>，</w:t>
      </w:r>
      <w:r>
        <w:rPr>
          <w:rFonts w:hint="eastAsia"/>
          <w:kern w:val="0"/>
          <w:szCs w:val="21"/>
          <w:lang w:val="en-US" w:eastAsia="zh-CN"/>
        </w:rPr>
        <w:t>服务人口为3600人。</w:t>
      </w:r>
    </w:p>
    <w:tbl>
      <w:tblPr>
        <w:tblStyle w:val="19"/>
        <w:tblW w:w="4883" w:type="pct"/>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3"/>
      </w:tblGrid>
      <w:tr w14:paraId="0C4B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7936BF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3545205" cy="5098415"/>
                  <wp:effectExtent l="0" t="0" r="6985" b="17145"/>
                  <wp:docPr id="13" name="图片 14" descr="DATA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DATA9061"/>
                          <pic:cNvPicPr>
                            <a:picLocks noChangeAspect="1"/>
                          </pic:cNvPicPr>
                        </pic:nvPicPr>
                        <pic:blipFill>
                          <a:blip r:embed="rId31"/>
                          <a:srcRect r="7277"/>
                          <a:stretch>
                            <a:fillRect/>
                          </a:stretch>
                        </pic:blipFill>
                        <pic:spPr>
                          <a:xfrm rot="5400000">
                            <a:off x="0" y="0"/>
                            <a:ext cx="3545205" cy="5098415"/>
                          </a:xfrm>
                          <a:prstGeom prst="rect">
                            <a:avLst/>
                          </a:prstGeom>
                          <a:noFill/>
                          <a:ln>
                            <a:noFill/>
                          </a:ln>
                        </pic:spPr>
                      </pic:pic>
                    </a:graphicData>
                  </a:graphic>
                </wp:inline>
              </w:drawing>
            </w:r>
          </w:p>
        </w:tc>
      </w:tr>
      <w:tr w14:paraId="246A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23C7C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峪道河镇集中供水水源</w:t>
            </w:r>
          </w:p>
        </w:tc>
      </w:tr>
    </w:tbl>
    <w:p w14:paraId="05BED8AE">
      <w:pPr>
        <w:bidi w:val="0"/>
        <w:rPr>
          <w:rFonts w:hint="eastAsia" w:ascii="Times New Roman" w:hAnsi="Times New Roman" w:cs="Times New Roman"/>
          <w:b/>
          <w:bCs/>
          <w:lang w:val="en-US" w:eastAsia="zh-CN"/>
        </w:rPr>
      </w:pPr>
      <w:r>
        <w:rPr>
          <w:rFonts w:hint="eastAsia" w:cs="Times New Roman"/>
          <w:b/>
          <w:bCs/>
          <w:lang w:val="en-US" w:eastAsia="zh-CN"/>
        </w:rPr>
        <w:t>9</w:t>
      </w:r>
      <w:r>
        <w:rPr>
          <w:rFonts w:hint="eastAsia" w:ascii="Times New Roman" w:hAnsi="Times New Roman" w:cs="Times New Roman"/>
          <w:b/>
          <w:bCs/>
          <w:lang w:val="en-US" w:eastAsia="zh-CN"/>
        </w:rPr>
        <w:t>、阳城乡集中供水水源</w:t>
      </w:r>
    </w:p>
    <w:p w14:paraId="32B79A6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阳城乡集中供水水源包括2个集中供水水井，均位于栗家庄</w:t>
      </w:r>
      <w:r>
        <w:rPr>
          <w:rFonts w:hint="eastAsia"/>
          <w:lang w:val="en-US" w:eastAsia="zh-CN"/>
        </w:rPr>
        <w:t>镇</w:t>
      </w:r>
      <w:r>
        <w:rPr>
          <w:rFonts w:hint="default"/>
          <w:lang w:val="en-US" w:eastAsia="zh-CN"/>
        </w:rPr>
        <w:t>南恒底，1#与2#供水井间距137m</w:t>
      </w:r>
      <w:r>
        <w:rPr>
          <w:rFonts w:hint="eastAsia"/>
          <w:lang w:val="en-US" w:eastAsia="zh-CN"/>
        </w:rPr>
        <w:t>，</w:t>
      </w:r>
      <w:r>
        <w:rPr>
          <w:rFonts w:hint="default"/>
          <w:lang w:val="en-US" w:eastAsia="zh-CN"/>
        </w:rPr>
        <w:t>1#与2#孔之间存在断层</w:t>
      </w:r>
      <w:r>
        <w:rPr>
          <w:rFonts w:hint="eastAsia"/>
          <w:lang w:val="en-US" w:eastAsia="zh-CN"/>
        </w:rPr>
        <w:t>，</w:t>
      </w:r>
      <w:r>
        <w:rPr>
          <w:rFonts w:hint="default"/>
          <w:lang w:val="en-US" w:eastAsia="zh-CN"/>
        </w:rPr>
        <w:t>断距约300m</w:t>
      </w:r>
      <w:r>
        <w:rPr>
          <w:rFonts w:hint="eastAsia"/>
          <w:lang w:val="en-US" w:eastAsia="zh-CN"/>
        </w:rPr>
        <w:t>，</w:t>
      </w:r>
      <w:r>
        <w:rPr>
          <w:rFonts w:hint="default"/>
          <w:lang w:val="en-US" w:eastAsia="zh-CN"/>
        </w:rPr>
        <w:t>井口标高843m</w:t>
      </w:r>
      <w:r>
        <w:rPr>
          <w:rFonts w:hint="eastAsia"/>
          <w:lang w:val="en-US" w:eastAsia="zh-CN"/>
        </w:rPr>
        <w:t>，</w:t>
      </w:r>
      <w:r>
        <w:rPr>
          <w:rFonts w:hint="default"/>
          <w:lang w:val="en-US" w:eastAsia="zh-CN"/>
        </w:rPr>
        <w:t>地貌单元为山前倾斜平原，地下水类型属于松散岩类埋藏型岩溶水，岩溶水归属于郭庄泉域北端补给区。</w:t>
      </w:r>
      <w:r>
        <w:rPr>
          <w:rFonts w:hint="eastAsia"/>
          <w:lang w:val="en-US" w:eastAsia="zh-CN"/>
        </w:rPr>
        <w:t>服务对象为</w:t>
      </w:r>
      <w:r>
        <w:rPr>
          <w:rFonts w:hint="eastAsia"/>
          <w:kern w:val="0"/>
          <w:szCs w:val="21"/>
        </w:rPr>
        <w:t>镇政府、</w:t>
      </w:r>
      <w:r>
        <w:rPr>
          <w:rFonts w:hint="eastAsia"/>
          <w:kern w:val="0"/>
          <w:szCs w:val="21"/>
          <w:lang w:val="en-US" w:eastAsia="zh-CN"/>
        </w:rPr>
        <w:t>平陆</w:t>
      </w:r>
      <w:r>
        <w:rPr>
          <w:rFonts w:hint="eastAsia"/>
          <w:kern w:val="0"/>
          <w:szCs w:val="21"/>
        </w:rPr>
        <w:t>村等村、学校及驻地企事业单位</w:t>
      </w:r>
      <w:r>
        <w:rPr>
          <w:rFonts w:hint="eastAsia"/>
          <w:kern w:val="0"/>
          <w:szCs w:val="21"/>
          <w:lang w:eastAsia="zh-CN"/>
        </w:rPr>
        <w:t>，</w:t>
      </w:r>
      <w:r>
        <w:rPr>
          <w:rFonts w:hint="eastAsia"/>
          <w:kern w:val="0"/>
          <w:szCs w:val="21"/>
          <w:lang w:val="en-US" w:eastAsia="zh-CN"/>
        </w:rPr>
        <w:t>服务人口为2400人。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3C3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0FCAB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43" name="图片 15" descr="IMG_20250704_14190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IMG_20250704_141908851"/>
                          <pic:cNvPicPr>
                            <a:picLocks noChangeAspect="1"/>
                          </pic:cNvPicPr>
                        </pic:nvPicPr>
                        <pic:blipFill>
                          <a:blip r:embed="rId32"/>
                          <a:stretch>
                            <a:fillRect/>
                          </a:stretch>
                        </pic:blipFill>
                        <pic:spPr>
                          <a:xfrm>
                            <a:off x="0" y="0"/>
                            <a:ext cx="5266690" cy="2962910"/>
                          </a:xfrm>
                          <a:prstGeom prst="rect">
                            <a:avLst/>
                          </a:prstGeom>
                          <a:noFill/>
                          <a:ln>
                            <a:noFill/>
                          </a:ln>
                        </pic:spPr>
                      </pic:pic>
                    </a:graphicData>
                  </a:graphic>
                </wp:inline>
              </w:drawing>
            </w:r>
          </w:p>
        </w:tc>
      </w:tr>
      <w:tr w14:paraId="7328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55807A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阳城乡集中供水水源</w:t>
            </w:r>
          </w:p>
        </w:tc>
      </w:tr>
    </w:tbl>
    <w:p w14:paraId="508E89B4">
      <w:pPr>
        <w:bidi w:val="0"/>
        <w:rPr>
          <w:rFonts w:hint="eastAsia" w:ascii="Times New Roman" w:hAnsi="Times New Roman" w:cs="Times New Roman"/>
          <w:b/>
          <w:bCs/>
          <w:lang w:val="en-US" w:eastAsia="zh-CN"/>
        </w:rPr>
      </w:pPr>
      <w:r>
        <w:rPr>
          <w:rFonts w:hint="eastAsia" w:ascii="Times New Roman" w:hAnsi="Times New Roman" w:cs="Times New Roman"/>
          <w:b/>
          <w:bCs/>
          <w:lang w:val="en-US" w:eastAsia="zh-CN"/>
        </w:rPr>
        <w:t>1</w:t>
      </w:r>
      <w:r>
        <w:rPr>
          <w:rFonts w:hint="eastAsia" w:cs="Times New Roman"/>
          <w:b/>
          <w:bCs/>
          <w:lang w:val="en-US" w:eastAsia="zh-CN"/>
        </w:rPr>
        <w:t>0</w:t>
      </w:r>
      <w:r>
        <w:rPr>
          <w:rFonts w:hint="eastAsia" w:ascii="Times New Roman" w:hAnsi="Times New Roman" w:cs="Times New Roman"/>
          <w:b/>
          <w:bCs/>
          <w:lang w:val="en-US" w:eastAsia="zh-CN"/>
        </w:rPr>
        <w:t>、栗家庄乡集中供水水源</w:t>
      </w:r>
    </w:p>
    <w:p w14:paraId="664A5E3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栗家庄乡集中供水水源有2个集中供水水井，均位于栗家庄</w:t>
      </w:r>
      <w:r>
        <w:rPr>
          <w:rFonts w:hint="eastAsia"/>
          <w:lang w:val="en-US" w:eastAsia="zh-CN"/>
        </w:rPr>
        <w:t>镇</w:t>
      </w:r>
      <w:r>
        <w:rPr>
          <w:rFonts w:hint="default"/>
          <w:lang w:val="en-US" w:eastAsia="zh-CN"/>
        </w:rPr>
        <w:t>栗家庄村，集中供水井位于栗家庄</w:t>
      </w:r>
      <w:r>
        <w:rPr>
          <w:rFonts w:hint="eastAsia"/>
          <w:lang w:val="en-US" w:eastAsia="zh-CN"/>
        </w:rPr>
        <w:t>镇</w:t>
      </w:r>
      <w:r>
        <w:rPr>
          <w:rFonts w:hint="default"/>
          <w:lang w:val="en-US" w:eastAsia="zh-CN"/>
        </w:rPr>
        <w:t>栗家庄村西南500m桑间地块内</w:t>
      </w:r>
      <w:r>
        <w:rPr>
          <w:rFonts w:hint="eastAsia"/>
          <w:lang w:val="en-US" w:eastAsia="zh-CN"/>
        </w:rPr>
        <w:t>，</w:t>
      </w:r>
      <w:r>
        <w:rPr>
          <w:rFonts w:hint="default"/>
          <w:lang w:val="en-US" w:eastAsia="zh-CN"/>
        </w:rPr>
        <w:t>供水并位于供水站院内井口周边有松树、梨树等，地貌单元为黄土丘陵，地下水类型属于松散岩类埋藏型岩溶水，岩溶水归属于郭庄泉域北端补给区。</w:t>
      </w:r>
      <w:r>
        <w:rPr>
          <w:rFonts w:hint="eastAsia"/>
          <w:lang w:val="en-US" w:eastAsia="zh-CN"/>
        </w:rPr>
        <w:t>服务对象为</w:t>
      </w:r>
      <w:r>
        <w:rPr>
          <w:rFonts w:hint="eastAsia"/>
          <w:kern w:val="0"/>
          <w:szCs w:val="21"/>
          <w:lang w:val="en-US" w:eastAsia="zh-CN"/>
        </w:rPr>
        <w:t>栗家庄</w:t>
      </w:r>
      <w:r>
        <w:rPr>
          <w:rFonts w:hint="eastAsia"/>
          <w:kern w:val="0"/>
          <w:szCs w:val="21"/>
        </w:rPr>
        <w:t>村</w:t>
      </w:r>
      <w:r>
        <w:rPr>
          <w:rFonts w:hint="eastAsia"/>
          <w:kern w:val="0"/>
          <w:szCs w:val="21"/>
          <w:lang w:eastAsia="zh-CN"/>
        </w:rPr>
        <w:t>，</w:t>
      </w:r>
      <w:r>
        <w:rPr>
          <w:rFonts w:hint="eastAsia"/>
          <w:kern w:val="0"/>
          <w:szCs w:val="21"/>
          <w:lang w:val="en-US" w:eastAsia="zh-CN"/>
        </w:rPr>
        <w:t>服务人口为2513人。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314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38DE5F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3082925" cy="5258435"/>
                  <wp:effectExtent l="0" t="0" r="18415" b="3175"/>
                  <wp:docPr id="17" name="图片 16" descr="YIUF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YIUF3122"/>
                          <pic:cNvPicPr>
                            <a:picLocks noChangeAspect="1"/>
                          </pic:cNvPicPr>
                        </pic:nvPicPr>
                        <pic:blipFill>
                          <a:blip r:embed="rId33"/>
                          <a:srcRect l="21832"/>
                          <a:stretch>
                            <a:fillRect/>
                          </a:stretch>
                        </pic:blipFill>
                        <pic:spPr>
                          <a:xfrm rot="5400000">
                            <a:off x="0" y="0"/>
                            <a:ext cx="3082925" cy="5258435"/>
                          </a:xfrm>
                          <a:prstGeom prst="rect">
                            <a:avLst/>
                          </a:prstGeom>
                          <a:noFill/>
                          <a:ln>
                            <a:noFill/>
                          </a:ln>
                        </pic:spPr>
                      </pic:pic>
                    </a:graphicData>
                  </a:graphic>
                </wp:inline>
              </w:drawing>
            </w:r>
          </w:p>
        </w:tc>
      </w:tr>
      <w:tr w14:paraId="6C9B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36F9F9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栗家庄乡集中供水水源</w:t>
            </w:r>
          </w:p>
        </w:tc>
      </w:tr>
    </w:tbl>
    <w:p w14:paraId="6CD643D0">
      <w:pPr>
        <w:bidi w:val="0"/>
        <w:rPr>
          <w:rFonts w:hint="eastAsia" w:ascii="Times New Roman" w:hAnsi="Times New Roman" w:cs="Times New Roman"/>
          <w:b/>
          <w:bCs/>
          <w:lang w:val="en-US" w:eastAsia="zh-CN"/>
        </w:rPr>
        <w:sectPr>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0F60A87E">
      <w:pPr>
        <w:pStyle w:val="3"/>
        <w:bidi w:val="0"/>
        <w:rPr>
          <w:rFonts w:hint="default"/>
        </w:rPr>
      </w:pPr>
      <w:bookmarkStart w:id="23" w:name="_Toc16481"/>
      <w:bookmarkStart w:id="24" w:name="_Toc31209"/>
      <w:r>
        <w:rPr>
          <w:rFonts w:hint="default"/>
        </w:rPr>
        <w:t>2.2 水源保护区划分结果</w:t>
      </w:r>
      <w:bookmarkEnd w:id="23"/>
      <w:bookmarkEnd w:id="24"/>
      <w:r>
        <w:rPr>
          <w:rFonts w:hint="default"/>
        </w:rPr>
        <w:t xml:space="preserve"> </w:t>
      </w:r>
    </w:p>
    <w:p w14:paraId="5727690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根据《吕梁市汾阳市乡镇集中式饮用水水源保护区划分技术报告》，</w:t>
      </w:r>
      <w:r>
        <w:rPr>
          <w:rFonts w:hint="eastAsia" w:cs="Times New Roman"/>
          <w:sz w:val="28"/>
          <w:szCs w:val="28"/>
          <w:lang w:val="en-US" w:eastAsia="zh-CN"/>
        </w:rPr>
        <w:t>汾阳市10处乡镇集中式饮用水水源地</w:t>
      </w:r>
      <w:r>
        <w:rPr>
          <w:rFonts w:hint="eastAsia" w:ascii="Times New Roman" w:hAnsi="Times New Roman" w:eastAsia="仿宋" w:cs="Times New Roman"/>
          <w:sz w:val="28"/>
          <w:szCs w:val="28"/>
          <w:lang w:val="en-US" w:eastAsia="zh-CN"/>
        </w:rPr>
        <w:t>划分了一级保护区，未设置二级保护区和准保护区。</w:t>
      </w:r>
    </w:p>
    <w:p w14:paraId="5B30A91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default" w:ascii="Times New Roman" w:hAnsi="Times New Roman" w:eastAsia="仿宋" w:cs="Times New Roman"/>
          <w:sz w:val="28"/>
          <w:szCs w:val="28"/>
        </w:rPr>
        <w:sectPr>
          <w:footerReference r:id="rId8" w:type="default"/>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仿宋" w:cs="Times New Roman"/>
          <w:sz w:val="28"/>
          <w:szCs w:val="28"/>
        </w:rPr>
        <w:t xml:space="preserve"> </w:t>
      </w:r>
    </w:p>
    <w:p w14:paraId="0E3E2A4F">
      <w:pPr>
        <w:pStyle w:val="2"/>
        <w:bidi w:val="0"/>
        <w:rPr>
          <w:rFonts w:hint="default"/>
        </w:rPr>
      </w:pPr>
      <w:bookmarkStart w:id="25" w:name="_Toc1604"/>
      <w:bookmarkStart w:id="26" w:name="_Toc8752"/>
      <w:r>
        <w:rPr>
          <w:rFonts w:hint="default"/>
        </w:rPr>
        <w:t>第三章</w:t>
      </w:r>
      <w:r>
        <w:rPr>
          <w:rFonts w:hint="default"/>
          <w:lang w:val="en-US" w:eastAsia="zh-CN"/>
        </w:rPr>
        <w:t xml:space="preserve"> </w:t>
      </w:r>
      <w:r>
        <w:rPr>
          <w:rFonts w:hint="default"/>
        </w:rPr>
        <w:t>应急组织指挥体系</w:t>
      </w:r>
      <w:bookmarkEnd w:id="25"/>
      <w:bookmarkEnd w:id="26"/>
    </w:p>
    <w:p w14:paraId="64509DDD">
      <w:pPr>
        <w:pStyle w:val="3"/>
        <w:bidi w:val="0"/>
        <w:rPr>
          <w:rFonts w:hint="default"/>
        </w:rPr>
      </w:pPr>
      <w:bookmarkStart w:id="27" w:name="_Toc8001"/>
      <w:bookmarkStart w:id="28" w:name="_Toc7094"/>
      <w:r>
        <w:rPr>
          <w:rFonts w:hint="default"/>
        </w:rPr>
        <w:t>3.1 应急组织指挥体系</w:t>
      </w:r>
      <w:bookmarkEnd w:id="27"/>
      <w:bookmarkEnd w:id="28"/>
      <w:r>
        <w:rPr>
          <w:rFonts w:hint="default"/>
        </w:rPr>
        <w:t xml:space="preserve"> </w:t>
      </w:r>
    </w:p>
    <w:p w14:paraId="1C52AAA0">
      <w:pPr>
        <w:bidi w:val="0"/>
        <w:rPr>
          <w:rFonts w:hint="default"/>
        </w:rPr>
      </w:pPr>
      <w:r>
        <w:rPr>
          <w:rFonts w:hint="eastAsia"/>
          <w:lang w:eastAsia="zh-CN"/>
        </w:rPr>
        <w:t>汾阳市1</w:t>
      </w:r>
      <w:r>
        <w:rPr>
          <w:rFonts w:hint="eastAsia"/>
          <w:lang w:val="en-US" w:eastAsia="zh-CN"/>
        </w:rPr>
        <w:t>0</w:t>
      </w:r>
      <w:r>
        <w:rPr>
          <w:rFonts w:hint="eastAsia"/>
          <w:lang w:eastAsia="zh-CN"/>
        </w:rPr>
        <w:t>处乡镇集中式饮用水水源地</w:t>
      </w:r>
      <w:r>
        <w:rPr>
          <w:rFonts w:hint="default"/>
        </w:rPr>
        <w:t xml:space="preserve">突发环境事件应急组织指挥体系由应急指挥部、现场应急指挥部和现场应急工作组组成。 </w:t>
      </w:r>
    </w:p>
    <w:p w14:paraId="2AF6279F">
      <w:pPr>
        <w:pStyle w:val="3"/>
        <w:bidi w:val="0"/>
        <w:rPr>
          <w:rFonts w:hint="default"/>
        </w:rPr>
      </w:pPr>
      <w:bookmarkStart w:id="29" w:name="_Toc19746"/>
      <w:bookmarkStart w:id="30" w:name="_Toc26558"/>
      <w:r>
        <w:rPr>
          <w:rFonts w:hint="default"/>
        </w:rPr>
        <w:t>3.2 应急组织指挥部</w:t>
      </w:r>
      <w:bookmarkEnd w:id="29"/>
      <w:bookmarkEnd w:id="30"/>
      <w:r>
        <w:rPr>
          <w:rFonts w:hint="default"/>
        </w:rPr>
        <w:t xml:space="preserve"> </w:t>
      </w:r>
    </w:p>
    <w:p w14:paraId="052BC1BA">
      <w:pPr>
        <w:bidi w:val="0"/>
        <w:rPr>
          <w:rFonts w:hint="default"/>
        </w:rPr>
      </w:pPr>
      <w:r>
        <w:rPr>
          <w:rFonts w:hint="eastAsia"/>
          <w:lang w:val="en-US" w:eastAsia="zh-CN"/>
        </w:rPr>
        <w:t>汾阳市人民政府</w:t>
      </w:r>
      <w:r>
        <w:rPr>
          <w:rFonts w:hint="default"/>
        </w:rPr>
        <w:t>成立</w:t>
      </w:r>
      <w:r>
        <w:rPr>
          <w:rFonts w:hint="eastAsia"/>
          <w:lang w:eastAsia="zh-CN"/>
        </w:rPr>
        <w:t>汾阳市1</w:t>
      </w:r>
      <w:r>
        <w:rPr>
          <w:rFonts w:hint="eastAsia"/>
          <w:lang w:val="en-US" w:eastAsia="zh-CN"/>
        </w:rPr>
        <w:t>0</w:t>
      </w:r>
      <w:r>
        <w:rPr>
          <w:rFonts w:hint="eastAsia"/>
          <w:lang w:eastAsia="zh-CN"/>
        </w:rPr>
        <w:t>处乡镇集中式饮用水水源地</w:t>
      </w:r>
      <w:r>
        <w:rPr>
          <w:rFonts w:hint="default"/>
        </w:rPr>
        <w:t>突发环境事件应急指挥部（简称“水源地应急指挥部”），应急指挥部包括总指挥、副总指挥、应急办公室。总指挥由</w:t>
      </w:r>
      <w:r>
        <w:rPr>
          <w:rFonts w:hint="eastAsia"/>
          <w:lang w:val="en-US" w:eastAsia="zh-CN"/>
        </w:rPr>
        <w:t>汾阳市人民政府党组成员</w:t>
      </w:r>
      <w:r>
        <w:rPr>
          <w:rFonts w:hint="default"/>
        </w:rPr>
        <w:t>担任。副总指挥由</w:t>
      </w:r>
      <w:r>
        <w:rPr>
          <w:rFonts w:hint="eastAsia"/>
          <w:lang w:val="en-US" w:eastAsia="zh-CN"/>
        </w:rPr>
        <w:t>各乡镇人民政</w:t>
      </w:r>
      <w:bookmarkStart w:id="154" w:name="_GoBack"/>
      <w:bookmarkEnd w:id="154"/>
      <w:r>
        <w:rPr>
          <w:rFonts w:hint="eastAsia"/>
          <w:lang w:val="en-US" w:eastAsia="zh-CN"/>
        </w:rPr>
        <w:t>府镇长</w:t>
      </w:r>
      <w:r>
        <w:rPr>
          <w:rFonts w:hint="default"/>
        </w:rPr>
        <w:t>担任</w:t>
      </w:r>
      <w:r>
        <w:rPr>
          <w:rFonts w:hint="default"/>
          <w:lang w:eastAsia="zh-CN"/>
        </w:rPr>
        <w:t>。</w:t>
      </w:r>
      <w:r>
        <w:rPr>
          <w:rFonts w:hint="default"/>
        </w:rPr>
        <w:t>应急办公室设在</w:t>
      </w:r>
      <w:r>
        <w:rPr>
          <w:rFonts w:hint="eastAsia"/>
          <w:lang w:val="en-US" w:eastAsia="zh-CN"/>
        </w:rPr>
        <w:t>水源地涉及的各乡镇人民政府</w:t>
      </w:r>
      <w:r>
        <w:rPr>
          <w:rFonts w:hint="default"/>
        </w:rPr>
        <w:t>，办公室主任由</w:t>
      </w:r>
      <w:r>
        <w:rPr>
          <w:rFonts w:hint="eastAsia"/>
          <w:lang w:val="en-US" w:eastAsia="zh-CN"/>
        </w:rPr>
        <w:t>各镇</w:t>
      </w:r>
      <w:r>
        <w:rPr>
          <w:rFonts w:hint="default"/>
        </w:rPr>
        <w:t>长兼任。</w:t>
      </w:r>
    </w:p>
    <w:p w14:paraId="50363E03">
      <w:pPr>
        <w:bidi w:val="0"/>
        <w:rPr>
          <w:rFonts w:hint="default"/>
        </w:rPr>
      </w:pPr>
      <w:r>
        <w:rPr>
          <w:rFonts w:hint="default"/>
        </w:rPr>
        <w:t>成员单位：</w:t>
      </w:r>
      <w:r>
        <w:rPr>
          <w:rFonts w:hint="eastAsia"/>
          <w:lang w:val="en-US" w:eastAsia="zh-CN"/>
        </w:rPr>
        <w:t>汾阳市自然资源局</w:t>
      </w:r>
      <w:r>
        <w:rPr>
          <w:rFonts w:hint="default"/>
          <w:lang w:eastAsia="zh-CN"/>
        </w:rPr>
        <w:t>、</w:t>
      </w:r>
      <w:r>
        <w:rPr>
          <w:rFonts w:hint="eastAsia"/>
          <w:lang w:val="en-US" w:eastAsia="zh-CN"/>
        </w:rPr>
        <w:t>市发改局、市</w:t>
      </w:r>
      <w:r>
        <w:rPr>
          <w:rFonts w:hint="default"/>
        </w:rPr>
        <w:t>商务局</w:t>
      </w:r>
      <w:r>
        <w:rPr>
          <w:rFonts w:hint="default"/>
          <w:lang w:eastAsia="zh-CN"/>
        </w:rPr>
        <w:t>、</w:t>
      </w:r>
      <w:r>
        <w:rPr>
          <w:rFonts w:hint="eastAsia"/>
          <w:lang w:val="en-US" w:eastAsia="zh-CN"/>
        </w:rPr>
        <w:t>市</w:t>
      </w:r>
      <w:r>
        <w:rPr>
          <w:rFonts w:hint="default"/>
        </w:rPr>
        <w:t>城乡建设</w:t>
      </w:r>
      <w:r>
        <w:rPr>
          <w:rFonts w:hint="eastAsia"/>
          <w:lang w:eastAsia="zh-CN"/>
        </w:rPr>
        <w:t>、</w:t>
      </w:r>
      <w:r>
        <w:rPr>
          <w:rFonts w:hint="eastAsia"/>
          <w:lang w:val="en-US" w:eastAsia="zh-CN"/>
        </w:rPr>
        <w:t>市</w:t>
      </w:r>
      <w:r>
        <w:rPr>
          <w:rFonts w:hint="default"/>
        </w:rPr>
        <w:t>交通运输局</w:t>
      </w:r>
      <w:r>
        <w:rPr>
          <w:rFonts w:hint="default"/>
          <w:lang w:eastAsia="zh-CN"/>
        </w:rPr>
        <w:t>、</w:t>
      </w:r>
      <w:r>
        <w:rPr>
          <w:rFonts w:hint="eastAsia"/>
          <w:lang w:val="en-US" w:eastAsia="zh-CN"/>
        </w:rPr>
        <w:t>市</w:t>
      </w:r>
      <w:r>
        <w:rPr>
          <w:rFonts w:hint="default"/>
        </w:rPr>
        <w:t>农业农村</w:t>
      </w:r>
      <w:r>
        <w:rPr>
          <w:rFonts w:hint="eastAsia"/>
          <w:lang w:eastAsia="zh-CN"/>
        </w:rPr>
        <w:t>、</w:t>
      </w:r>
      <w:r>
        <w:rPr>
          <w:rFonts w:hint="eastAsia"/>
          <w:lang w:val="en-US" w:eastAsia="zh-CN"/>
        </w:rPr>
        <w:t>市</w:t>
      </w:r>
      <w:r>
        <w:rPr>
          <w:rFonts w:hint="default"/>
        </w:rPr>
        <w:t>水利局</w:t>
      </w:r>
      <w:r>
        <w:rPr>
          <w:rFonts w:hint="default"/>
          <w:lang w:eastAsia="zh-CN"/>
        </w:rPr>
        <w:t>、</w:t>
      </w:r>
      <w:r>
        <w:rPr>
          <w:rFonts w:hint="eastAsia"/>
          <w:lang w:val="en-US" w:eastAsia="zh-CN"/>
        </w:rPr>
        <w:t>市</w:t>
      </w:r>
      <w:r>
        <w:rPr>
          <w:rFonts w:hint="default"/>
        </w:rPr>
        <w:t>公安局</w:t>
      </w:r>
      <w:r>
        <w:rPr>
          <w:rFonts w:hint="default"/>
          <w:lang w:eastAsia="zh-CN"/>
        </w:rPr>
        <w:t>、</w:t>
      </w:r>
      <w:r>
        <w:rPr>
          <w:rFonts w:hint="eastAsia"/>
          <w:lang w:val="en-US" w:eastAsia="zh-CN"/>
        </w:rPr>
        <w:t>市</w:t>
      </w:r>
      <w:r>
        <w:rPr>
          <w:rFonts w:hint="default"/>
        </w:rPr>
        <w:t>财政局</w:t>
      </w:r>
      <w:r>
        <w:rPr>
          <w:rFonts w:hint="default"/>
          <w:lang w:eastAsia="zh-CN"/>
        </w:rPr>
        <w:t>、</w:t>
      </w:r>
      <w:r>
        <w:rPr>
          <w:rFonts w:hint="eastAsia"/>
          <w:lang w:eastAsia="zh-CN"/>
        </w:rPr>
        <w:t>汾阳市</w:t>
      </w:r>
      <w:r>
        <w:rPr>
          <w:rFonts w:hint="default"/>
        </w:rPr>
        <w:t>卫生健康局</w:t>
      </w:r>
      <w:r>
        <w:rPr>
          <w:rFonts w:hint="default"/>
          <w:lang w:eastAsia="zh-CN"/>
        </w:rPr>
        <w:t>、</w:t>
      </w:r>
      <w:r>
        <w:rPr>
          <w:rFonts w:hint="eastAsia"/>
          <w:lang w:val="en-US" w:eastAsia="zh-CN"/>
        </w:rPr>
        <w:t>汾阳市</w:t>
      </w:r>
      <w:r>
        <w:rPr>
          <w:rFonts w:hint="default"/>
        </w:rPr>
        <w:t>综合行政执法局</w:t>
      </w:r>
      <w:r>
        <w:rPr>
          <w:rFonts w:hint="default"/>
          <w:lang w:eastAsia="zh-CN"/>
        </w:rPr>
        <w:t>、</w:t>
      </w:r>
      <w:r>
        <w:rPr>
          <w:rFonts w:hint="eastAsia"/>
          <w:lang w:val="en-US" w:eastAsia="zh-CN"/>
        </w:rPr>
        <w:t>汾阳市</w:t>
      </w:r>
      <w:r>
        <w:rPr>
          <w:rFonts w:hint="default"/>
        </w:rPr>
        <w:t>气象局</w:t>
      </w:r>
      <w:r>
        <w:rPr>
          <w:rFonts w:hint="default"/>
          <w:lang w:eastAsia="zh-CN"/>
        </w:rPr>
        <w:t>、</w:t>
      </w:r>
      <w:r>
        <w:rPr>
          <w:rFonts w:hint="eastAsia"/>
          <w:lang w:val="en-US" w:eastAsia="zh-CN"/>
        </w:rPr>
        <w:t>汾阳市</w:t>
      </w:r>
      <w:r>
        <w:rPr>
          <w:rFonts w:hint="default"/>
        </w:rPr>
        <w:t>自来水公司</w:t>
      </w:r>
      <w:r>
        <w:rPr>
          <w:rFonts w:hint="default"/>
          <w:lang w:eastAsia="zh-CN"/>
        </w:rPr>
        <w:t>、</w:t>
      </w:r>
      <w:r>
        <w:rPr>
          <w:rFonts w:hint="eastAsia"/>
          <w:lang w:val="en-US" w:eastAsia="zh-CN"/>
        </w:rPr>
        <w:t>吕梁市生态环境局汾阳分局、汾阳市事业服务中心等</w:t>
      </w:r>
      <w:r>
        <w:rPr>
          <w:rFonts w:hint="default"/>
        </w:rPr>
        <w:t>。</w:t>
      </w:r>
    </w:p>
    <w:p w14:paraId="7CD12317">
      <w:pPr>
        <w:bidi w:val="0"/>
        <w:rPr>
          <w:rFonts w:hint="default" w:ascii="Times New Roman" w:hAnsi="Times New Roman" w:eastAsia="仿宋" w:cs="Times New Roman"/>
          <w:szCs w:val="28"/>
          <w:lang w:val="en-US"/>
        </w:rPr>
      </w:pPr>
      <w:r>
        <w:rPr>
          <w:rFonts w:hint="default"/>
          <w:lang w:val="en-US" w:eastAsia="zh-CN"/>
        </w:rPr>
        <w:t>应急指挥机构及成员单位职责</w:t>
      </w:r>
      <w:r>
        <w:rPr>
          <w:rFonts w:hint="eastAsia"/>
          <w:lang w:val="en-US" w:eastAsia="zh-CN"/>
        </w:rPr>
        <w:t>，见表3-1。</w:t>
      </w:r>
    </w:p>
    <w:p w14:paraId="102328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3BF142E">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 xml:space="preserve">表3-1 </w:t>
      </w:r>
      <w:r>
        <w:rPr>
          <w:rFonts w:hint="default" w:ascii="Times New Roman" w:hAnsi="Times New Roman" w:eastAsia="仿宋" w:cs="Times New Roman"/>
          <w:b/>
          <w:bCs/>
          <w:sz w:val="28"/>
          <w:szCs w:val="28"/>
          <w:lang w:val="en-US" w:eastAsia="zh-CN"/>
        </w:rPr>
        <w:t>应急指挥机构及成员单位职责表应急组织指挥机构表</w:t>
      </w:r>
    </w:p>
    <w:tbl>
      <w:tblPr>
        <w:tblStyle w:val="28"/>
        <w:tblW w:w="511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1509"/>
        <w:gridCol w:w="995"/>
        <w:gridCol w:w="1718"/>
        <w:gridCol w:w="1390"/>
        <w:gridCol w:w="3449"/>
        <w:gridCol w:w="4590"/>
      </w:tblGrid>
      <w:tr w14:paraId="1FF57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noWrap w:val="0"/>
            <w:vAlign w:val="center"/>
          </w:tcPr>
          <w:p w14:paraId="493B89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应急组织指挥机构</w:t>
            </w:r>
          </w:p>
        </w:tc>
        <w:tc>
          <w:tcPr>
            <w:tcW w:w="348" w:type="pct"/>
            <w:noWrap w:val="0"/>
            <w:vAlign w:val="center"/>
          </w:tcPr>
          <w:p w14:paraId="5F93D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负责人</w:t>
            </w:r>
          </w:p>
        </w:tc>
        <w:tc>
          <w:tcPr>
            <w:tcW w:w="600" w:type="pct"/>
            <w:noWrap w:val="0"/>
            <w:vAlign w:val="center"/>
          </w:tcPr>
          <w:p w14:paraId="0B7BE2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联系电话</w:t>
            </w:r>
          </w:p>
        </w:tc>
        <w:tc>
          <w:tcPr>
            <w:tcW w:w="486" w:type="pct"/>
            <w:noWrap w:val="0"/>
            <w:vAlign w:val="center"/>
          </w:tcPr>
          <w:p w14:paraId="28869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职务</w:t>
            </w:r>
          </w:p>
        </w:tc>
        <w:tc>
          <w:tcPr>
            <w:tcW w:w="1206" w:type="pct"/>
            <w:noWrap w:val="0"/>
            <w:vAlign w:val="center"/>
          </w:tcPr>
          <w:p w14:paraId="70D356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日常职责</w:t>
            </w:r>
          </w:p>
        </w:tc>
        <w:tc>
          <w:tcPr>
            <w:tcW w:w="1605" w:type="pct"/>
            <w:noWrap w:val="0"/>
            <w:vAlign w:val="center"/>
          </w:tcPr>
          <w:p w14:paraId="0D22D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应急职责</w:t>
            </w:r>
          </w:p>
        </w:tc>
      </w:tr>
      <w:tr w14:paraId="73DED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0" w:hRule="atLeast"/>
          <w:jc w:val="center"/>
        </w:trPr>
        <w:tc>
          <w:tcPr>
            <w:tcW w:w="752" w:type="pct"/>
            <w:gridSpan w:val="2"/>
            <w:noWrap w:val="0"/>
            <w:vAlign w:val="center"/>
          </w:tcPr>
          <w:p w14:paraId="6F148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总指挥</w:t>
            </w:r>
          </w:p>
        </w:tc>
        <w:tc>
          <w:tcPr>
            <w:tcW w:w="348" w:type="pct"/>
            <w:noWrap w:val="0"/>
            <w:vAlign w:val="center"/>
          </w:tcPr>
          <w:p w14:paraId="2D259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武胜</w:t>
            </w:r>
            <w:r>
              <w:rPr>
                <w:rFonts w:hint="default" w:ascii="Times New Roman" w:hAnsi="Times New Roman" w:eastAsia="仿宋" w:cs="Times New Roman"/>
                <w:sz w:val="24"/>
                <w:szCs w:val="24"/>
              </w:rPr>
              <w:t>强</w:t>
            </w:r>
          </w:p>
        </w:tc>
        <w:tc>
          <w:tcPr>
            <w:tcW w:w="600" w:type="pct"/>
            <w:noWrap w:val="0"/>
            <w:vAlign w:val="center"/>
          </w:tcPr>
          <w:p w14:paraId="1653FF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0358-</w:t>
            </w:r>
            <w:r>
              <w:rPr>
                <w:rFonts w:hint="default" w:ascii="Times New Roman" w:hAnsi="Times New Roman" w:eastAsia="仿宋" w:cs="Times New Roman"/>
                <w:sz w:val="24"/>
                <w:szCs w:val="24"/>
                <w:lang w:val="en-US" w:eastAsia="zh-CN"/>
              </w:rPr>
              <w:t>7223620</w:t>
            </w:r>
          </w:p>
        </w:tc>
        <w:tc>
          <w:tcPr>
            <w:tcW w:w="486" w:type="pct"/>
            <w:noWrap w:val="0"/>
            <w:vAlign w:val="center"/>
          </w:tcPr>
          <w:p w14:paraId="0E362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val="en-US"/>
              </w:rPr>
            </w:pPr>
            <w:r>
              <w:rPr>
                <w:rFonts w:hint="eastAsia" w:cs="Times New Roman"/>
                <w:sz w:val="24"/>
                <w:szCs w:val="24"/>
                <w:lang w:val="en-US" w:eastAsia="zh-CN"/>
              </w:rPr>
              <w:t>汾阳市人民政府</w:t>
            </w:r>
            <w:r>
              <w:rPr>
                <w:rFonts w:hint="default" w:ascii="Times New Roman" w:hAnsi="Times New Roman" w:eastAsia="仿宋" w:cs="Times New Roman"/>
                <w:sz w:val="24"/>
                <w:szCs w:val="24"/>
                <w:lang w:val="en-US" w:eastAsia="zh-CN"/>
              </w:rPr>
              <w:t>党组成员</w:t>
            </w:r>
          </w:p>
        </w:tc>
        <w:tc>
          <w:tcPr>
            <w:tcW w:w="3449" w:type="dxa"/>
            <w:noWrap w:val="0"/>
            <w:vAlign w:val="center"/>
          </w:tcPr>
          <w:p w14:paraId="7DA60A5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①贯彻执行国家、山西省、吕梁市人民政府及</w:t>
            </w:r>
            <w:r>
              <w:rPr>
                <w:rFonts w:hint="eastAsia" w:cs="Times New Roman"/>
                <w:sz w:val="24"/>
                <w:szCs w:val="24"/>
                <w:lang w:val="en-US" w:eastAsia="zh-CN"/>
              </w:rPr>
              <w:t>相关</w:t>
            </w:r>
            <w:r>
              <w:rPr>
                <w:rFonts w:hint="default" w:ascii="Times New Roman" w:hAnsi="Times New Roman" w:eastAsia="仿宋" w:cs="Times New Roman"/>
                <w:sz w:val="24"/>
                <w:szCs w:val="24"/>
              </w:rPr>
              <w:t>部门关于水源地突发环境事件的各项</w:t>
            </w:r>
            <w:r>
              <w:rPr>
                <w:rFonts w:hint="eastAsia" w:cs="Times New Roman"/>
                <w:sz w:val="24"/>
                <w:szCs w:val="24"/>
                <w:lang w:val="en-US" w:eastAsia="zh-CN"/>
              </w:rPr>
              <w:t>工作</w:t>
            </w:r>
            <w:r>
              <w:rPr>
                <w:rFonts w:hint="default" w:ascii="Times New Roman" w:hAnsi="Times New Roman" w:eastAsia="仿宋" w:cs="Times New Roman"/>
                <w:sz w:val="24"/>
                <w:szCs w:val="24"/>
              </w:rPr>
              <w:t>要求；</w:t>
            </w:r>
          </w:p>
          <w:p w14:paraId="45BC367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w:t>
            </w:r>
            <w:r>
              <w:rPr>
                <w:rFonts w:hint="eastAsia" w:cs="Times New Roman"/>
                <w:sz w:val="24"/>
                <w:szCs w:val="24"/>
                <w:lang w:val="en-US" w:eastAsia="zh-CN"/>
              </w:rPr>
              <w:t>牵头</w:t>
            </w:r>
            <w:r>
              <w:rPr>
                <w:rFonts w:hint="default" w:ascii="Times New Roman" w:hAnsi="Times New Roman" w:eastAsia="仿宋" w:cs="Times New Roman"/>
                <w:sz w:val="24"/>
                <w:szCs w:val="24"/>
              </w:rPr>
              <w:t>组织</w:t>
            </w:r>
            <w:r>
              <w:rPr>
                <w:rFonts w:hint="eastAsia" w:cs="Times New Roman"/>
                <w:sz w:val="24"/>
                <w:szCs w:val="24"/>
                <w:lang w:val="en-US" w:eastAsia="zh-CN"/>
              </w:rPr>
              <w:t>水源地应急预案的编制、修订与审批工作</w:t>
            </w:r>
            <w:r>
              <w:rPr>
                <w:rFonts w:hint="default" w:ascii="Times New Roman" w:hAnsi="Times New Roman" w:eastAsia="仿宋" w:cs="Times New Roman"/>
                <w:sz w:val="24"/>
                <w:szCs w:val="24"/>
              </w:rPr>
              <w:t>；</w:t>
            </w:r>
          </w:p>
          <w:p w14:paraId="52D9C9B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③指导</w:t>
            </w:r>
            <w:r>
              <w:rPr>
                <w:rFonts w:hint="eastAsia" w:cs="Times New Roman"/>
                <w:sz w:val="24"/>
                <w:szCs w:val="24"/>
                <w:lang w:val="en-US" w:eastAsia="zh-CN"/>
              </w:rPr>
              <w:t>推进</w:t>
            </w:r>
            <w:r>
              <w:rPr>
                <w:rFonts w:hint="default" w:ascii="Times New Roman" w:hAnsi="Times New Roman" w:eastAsia="仿宋" w:cs="Times New Roman"/>
                <w:sz w:val="24"/>
                <w:szCs w:val="24"/>
              </w:rPr>
              <w:t>水源地突发环境事件应急管理体系建设</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2C1F52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④协调保障水源地突发环境事件应急管理工作</w:t>
            </w:r>
            <w:r>
              <w:rPr>
                <w:rFonts w:hint="eastAsia" w:cs="Times New Roman"/>
                <w:sz w:val="24"/>
                <w:szCs w:val="24"/>
                <w:lang w:val="en-US" w:eastAsia="zh-CN"/>
              </w:rPr>
              <w:t>的</w:t>
            </w:r>
            <w:r>
              <w:rPr>
                <w:rFonts w:hint="default" w:ascii="Times New Roman" w:hAnsi="Times New Roman" w:eastAsia="仿宋" w:cs="Times New Roman"/>
                <w:sz w:val="24"/>
                <w:szCs w:val="24"/>
              </w:rPr>
              <w:t>经费</w:t>
            </w:r>
          </w:p>
        </w:tc>
        <w:tc>
          <w:tcPr>
            <w:tcW w:w="4590" w:type="dxa"/>
            <w:noWrap w:val="0"/>
            <w:vAlign w:val="center"/>
          </w:tcPr>
          <w:p w14:paraId="55E0302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w:t>
            </w:r>
            <w:r>
              <w:rPr>
                <w:rFonts w:hint="eastAsia" w:cs="Times New Roman"/>
                <w:sz w:val="24"/>
                <w:szCs w:val="24"/>
                <w:lang w:val="en-US" w:eastAsia="zh-CN"/>
              </w:rPr>
              <w:t>当</w:t>
            </w:r>
            <w:r>
              <w:rPr>
                <w:rFonts w:hint="default" w:ascii="Times New Roman" w:hAnsi="Times New Roman" w:eastAsia="仿宋" w:cs="Times New Roman"/>
                <w:sz w:val="24"/>
                <w:szCs w:val="24"/>
              </w:rPr>
              <w:t>发生水源地突发环境事件时，</w:t>
            </w:r>
            <w:r>
              <w:rPr>
                <w:rFonts w:hint="eastAsia" w:cs="Times New Roman"/>
                <w:sz w:val="24"/>
                <w:szCs w:val="24"/>
                <w:lang w:val="en-US" w:eastAsia="zh-CN"/>
              </w:rPr>
              <w:t>总指挥</w:t>
            </w:r>
            <w:r>
              <w:rPr>
                <w:rFonts w:hint="default" w:ascii="Times New Roman" w:hAnsi="Times New Roman" w:eastAsia="仿宋" w:cs="Times New Roman"/>
                <w:sz w:val="24"/>
                <w:szCs w:val="24"/>
              </w:rPr>
              <w:t>亲自（或委托副总指挥）赶赴现场</w:t>
            </w:r>
            <w:r>
              <w:rPr>
                <w:rFonts w:hint="eastAsia" w:cs="Times New Roman"/>
                <w:sz w:val="24"/>
                <w:szCs w:val="24"/>
                <w:lang w:val="en-US" w:eastAsia="zh-CN"/>
              </w:rPr>
              <w:t>统筹</w:t>
            </w:r>
            <w:r>
              <w:rPr>
                <w:rFonts w:hint="default" w:ascii="Times New Roman" w:hAnsi="Times New Roman" w:eastAsia="仿宋" w:cs="Times New Roman"/>
                <w:sz w:val="24"/>
                <w:szCs w:val="24"/>
              </w:rPr>
              <w:t>指挥</w:t>
            </w:r>
            <w:r>
              <w:rPr>
                <w:rFonts w:hint="eastAsia" w:cs="Times New Roman"/>
                <w:sz w:val="24"/>
                <w:szCs w:val="24"/>
                <w:lang w:val="en-US" w:eastAsia="zh-CN"/>
              </w:rPr>
              <w:t>并</w:t>
            </w:r>
            <w:r>
              <w:rPr>
                <w:rFonts w:hint="default" w:ascii="Times New Roman" w:hAnsi="Times New Roman" w:eastAsia="仿宋" w:cs="Times New Roman"/>
                <w:sz w:val="24"/>
                <w:szCs w:val="24"/>
              </w:rPr>
              <w:t>组织开展应急处置</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54D6B5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②贯彻执行山西省、吕梁市人民政府及</w:t>
            </w:r>
            <w:r>
              <w:rPr>
                <w:rFonts w:hint="eastAsia" w:cs="Times New Roman"/>
                <w:sz w:val="24"/>
                <w:szCs w:val="24"/>
                <w:lang w:val="en-US" w:eastAsia="zh-CN"/>
              </w:rPr>
              <w:t>相关</w:t>
            </w:r>
            <w:r>
              <w:rPr>
                <w:rFonts w:hint="default" w:ascii="Times New Roman" w:hAnsi="Times New Roman" w:eastAsia="仿宋" w:cs="Times New Roman"/>
                <w:sz w:val="24"/>
                <w:szCs w:val="24"/>
              </w:rPr>
              <w:t>部门的应急指令；</w:t>
            </w:r>
          </w:p>
          <w:p w14:paraId="2B2FF7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w:t>
            </w:r>
            <w:r>
              <w:rPr>
                <w:rFonts w:hint="eastAsia" w:cs="Times New Roman"/>
                <w:sz w:val="24"/>
                <w:szCs w:val="24"/>
                <w:lang w:val="en-US" w:eastAsia="zh-CN"/>
              </w:rPr>
              <w:t>依据</w:t>
            </w:r>
            <w:r>
              <w:rPr>
                <w:rFonts w:hint="default" w:ascii="Times New Roman" w:hAnsi="Times New Roman" w:eastAsia="仿宋" w:cs="Times New Roman"/>
                <w:sz w:val="24"/>
                <w:szCs w:val="24"/>
              </w:rPr>
              <w:t>预警</w:t>
            </w:r>
            <w:r>
              <w:rPr>
                <w:rFonts w:hint="eastAsia" w:cs="Times New Roman"/>
                <w:sz w:val="24"/>
                <w:szCs w:val="24"/>
                <w:lang w:val="en-US" w:eastAsia="zh-CN"/>
              </w:rPr>
              <w:t>及</w:t>
            </w:r>
            <w:r>
              <w:rPr>
                <w:rFonts w:hint="default" w:ascii="Times New Roman" w:hAnsi="Times New Roman" w:eastAsia="仿宋" w:cs="Times New Roman"/>
                <w:sz w:val="24"/>
                <w:szCs w:val="24"/>
              </w:rPr>
              <w:t>应急启动</w:t>
            </w:r>
            <w:r>
              <w:rPr>
                <w:rFonts w:hint="eastAsia" w:cs="Times New Roman"/>
                <w:sz w:val="24"/>
                <w:szCs w:val="24"/>
                <w:lang w:eastAsia="zh-CN"/>
              </w:rPr>
              <w:t>、</w:t>
            </w:r>
            <w:r>
              <w:rPr>
                <w:rFonts w:hint="default" w:ascii="Times New Roman" w:hAnsi="Times New Roman" w:eastAsia="仿宋" w:cs="Times New Roman"/>
                <w:sz w:val="24"/>
                <w:szCs w:val="24"/>
              </w:rPr>
              <w:t>终止</w:t>
            </w:r>
            <w:r>
              <w:rPr>
                <w:rFonts w:hint="eastAsia" w:cs="Times New Roman"/>
                <w:sz w:val="24"/>
                <w:szCs w:val="24"/>
                <w:lang w:val="en-US" w:eastAsia="zh-CN"/>
              </w:rPr>
              <w:t>的判定</w:t>
            </w:r>
            <w:r>
              <w:rPr>
                <w:rFonts w:hint="default" w:ascii="Times New Roman" w:hAnsi="Times New Roman" w:eastAsia="仿宋" w:cs="Times New Roman"/>
                <w:sz w:val="24"/>
                <w:szCs w:val="24"/>
              </w:rPr>
              <w:t>条件，决定预案的启动或终止；</w:t>
            </w:r>
          </w:p>
          <w:p w14:paraId="6BE741E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④研判突发环境事件发展</w:t>
            </w:r>
            <w:r>
              <w:rPr>
                <w:rFonts w:hint="eastAsia" w:cs="Times New Roman"/>
                <w:sz w:val="24"/>
                <w:szCs w:val="24"/>
                <w:lang w:val="en-US" w:eastAsia="zh-CN"/>
              </w:rPr>
              <w:t>的</w:t>
            </w:r>
            <w:r>
              <w:rPr>
                <w:rFonts w:hint="default" w:ascii="Times New Roman" w:hAnsi="Times New Roman" w:eastAsia="仿宋" w:cs="Times New Roman"/>
                <w:sz w:val="24"/>
                <w:szCs w:val="24"/>
              </w:rPr>
              <w:t>态势，</w:t>
            </w:r>
            <w:r>
              <w:rPr>
                <w:rFonts w:hint="eastAsia" w:cs="Times New Roman"/>
                <w:sz w:val="24"/>
                <w:szCs w:val="24"/>
                <w:lang w:val="en-US" w:eastAsia="zh-CN"/>
              </w:rPr>
              <w:t>牵头</w:t>
            </w:r>
            <w:r>
              <w:rPr>
                <w:rFonts w:hint="default" w:ascii="Times New Roman" w:hAnsi="Times New Roman" w:eastAsia="仿宋" w:cs="Times New Roman"/>
                <w:sz w:val="24"/>
                <w:szCs w:val="24"/>
              </w:rPr>
              <w:t>制定并</w:t>
            </w:r>
            <w:r>
              <w:rPr>
                <w:rFonts w:hint="eastAsia" w:cs="Times New Roman"/>
                <w:sz w:val="24"/>
                <w:szCs w:val="24"/>
                <w:lang w:val="en-US" w:eastAsia="zh-CN"/>
              </w:rPr>
              <w:t>审批</w:t>
            </w:r>
            <w:r>
              <w:rPr>
                <w:rFonts w:hint="default" w:ascii="Times New Roman" w:hAnsi="Times New Roman" w:eastAsia="仿宋" w:cs="Times New Roman"/>
                <w:sz w:val="24"/>
                <w:szCs w:val="24"/>
              </w:rPr>
              <w:t>现场处置方案；</w:t>
            </w:r>
          </w:p>
          <w:p w14:paraId="7546E4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⑤组织开展损害评估等后期工作</w:t>
            </w:r>
          </w:p>
        </w:tc>
      </w:tr>
      <w:tr w14:paraId="681F4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752" w:type="pct"/>
            <w:gridSpan w:val="2"/>
            <w:vMerge w:val="restart"/>
            <w:noWrap w:val="0"/>
            <w:vAlign w:val="center"/>
          </w:tcPr>
          <w:p w14:paraId="091F5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副总指挥</w:t>
            </w:r>
          </w:p>
        </w:tc>
        <w:tc>
          <w:tcPr>
            <w:tcW w:w="348" w:type="pct"/>
            <w:noWrap w:val="0"/>
            <w:vAlign w:val="center"/>
          </w:tcPr>
          <w:p w14:paraId="4CF8EB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刘静</w:t>
            </w:r>
          </w:p>
        </w:tc>
        <w:tc>
          <w:tcPr>
            <w:tcW w:w="600" w:type="pct"/>
            <w:noWrap w:val="0"/>
            <w:vAlign w:val="center"/>
          </w:tcPr>
          <w:p w14:paraId="5DF020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0358-7380074</w:t>
            </w:r>
          </w:p>
        </w:tc>
        <w:tc>
          <w:tcPr>
            <w:tcW w:w="486" w:type="pct"/>
            <w:noWrap w:val="0"/>
            <w:vAlign w:val="center"/>
          </w:tcPr>
          <w:p w14:paraId="2AD1E6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贾家庄镇人民政府</w:t>
            </w:r>
            <w:r>
              <w:rPr>
                <w:rFonts w:hint="eastAsia" w:cs="Times New Roman"/>
                <w:sz w:val="24"/>
                <w:szCs w:val="24"/>
                <w:lang w:val="en-US" w:eastAsia="zh-CN"/>
              </w:rPr>
              <w:t>镇长</w:t>
            </w:r>
          </w:p>
        </w:tc>
        <w:tc>
          <w:tcPr>
            <w:tcW w:w="3449" w:type="dxa"/>
            <w:vMerge w:val="restart"/>
            <w:noWrap w:val="0"/>
            <w:vAlign w:val="center"/>
          </w:tcPr>
          <w:p w14:paraId="597328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①协助总指挥</w:t>
            </w:r>
            <w:r>
              <w:rPr>
                <w:rFonts w:hint="eastAsia" w:cs="Times New Roman"/>
                <w:sz w:val="24"/>
                <w:szCs w:val="24"/>
                <w:lang w:val="en-US" w:eastAsia="zh-CN"/>
              </w:rPr>
              <w:t>推进各项相关</w:t>
            </w:r>
            <w:r>
              <w:rPr>
                <w:rFonts w:hint="default" w:ascii="Times New Roman" w:hAnsi="Times New Roman" w:eastAsia="仿宋" w:cs="Times New Roman"/>
                <w:sz w:val="24"/>
                <w:szCs w:val="24"/>
              </w:rPr>
              <w:t>工作；</w:t>
            </w:r>
          </w:p>
          <w:p w14:paraId="13BF55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w:t>
            </w:r>
            <w:r>
              <w:rPr>
                <w:rFonts w:hint="eastAsia" w:cs="Times New Roman"/>
                <w:sz w:val="24"/>
                <w:szCs w:val="24"/>
                <w:lang w:val="en-US" w:eastAsia="zh-CN"/>
              </w:rPr>
              <w:t>牵头</w:t>
            </w:r>
            <w:r>
              <w:rPr>
                <w:rFonts w:hint="default" w:ascii="Times New Roman" w:hAnsi="Times New Roman" w:eastAsia="仿宋" w:cs="Times New Roman"/>
                <w:sz w:val="24"/>
                <w:szCs w:val="24"/>
              </w:rPr>
              <w:t>组织</w:t>
            </w:r>
            <w:r>
              <w:rPr>
                <w:rFonts w:hint="eastAsia" w:cs="Times New Roman"/>
                <w:sz w:val="24"/>
                <w:szCs w:val="24"/>
                <w:lang w:val="en-US" w:eastAsia="zh-CN"/>
              </w:rPr>
              <w:t>并</w:t>
            </w:r>
            <w:r>
              <w:rPr>
                <w:rFonts w:hint="default" w:ascii="Times New Roman" w:hAnsi="Times New Roman" w:eastAsia="仿宋" w:cs="Times New Roman"/>
                <w:sz w:val="24"/>
                <w:szCs w:val="24"/>
              </w:rPr>
              <w:t>指导</w:t>
            </w:r>
            <w:r>
              <w:rPr>
                <w:rFonts w:hint="eastAsia" w:cs="Times New Roman"/>
                <w:sz w:val="24"/>
                <w:szCs w:val="24"/>
                <w:lang w:val="en-US" w:eastAsia="zh-CN"/>
              </w:rPr>
              <w:t>应急</w:t>
            </w:r>
            <w:r>
              <w:rPr>
                <w:rFonts w:hint="default" w:ascii="Times New Roman" w:hAnsi="Times New Roman" w:eastAsia="仿宋" w:cs="Times New Roman"/>
                <w:sz w:val="24"/>
                <w:szCs w:val="24"/>
              </w:rPr>
              <w:t>预案培训</w:t>
            </w:r>
            <w:r>
              <w:rPr>
                <w:rFonts w:hint="eastAsia" w:cs="Times New Roman"/>
                <w:sz w:val="24"/>
                <w:szCs w:val="24"/>
                <w:lang w:eastAsia="zh-CN"/>
              </w:rPr>
              <w:t>、</w:t>
            </w:r>
            <w:r>
              <w:rPr>
                <w:rFonts w:hint="default" w:ascii="Times New Roman" w:hAnsi="Times New Roman" w:eastAsia="仿宋" w:cs="Times New Roman"/>
                <w:sz w:val="24"/>
                <w:szCs w:val="24"/>
              </w:rPr>
              <w:t>演练</w:t>
            </w:r>
            <w:r>
              <w:rPr>
                <w:rFonts w:hint="eastAsia" w:cs="Times New Roman"/>
                <w:sz w:val="24"/>
                <w:szCs w:val="24"/>
                <w:lang w:val="en-US" w:eastAsia="zh-CN"/>
              </w:rPr>
              <w:t>及</w:t>
            </w:r>
            <w:r>
              <w:rPr>
                <w:rFonts w:hint="default" w:ascii="Times New Roman" w:hAnsi="Times New Roman" w:eastAsia="仿宋" w:cs="Times New Roman"/>
                <w:sz w:val="24"/>
                <w:szCs w:val="24"/>
              </w:rPr>
              <w:t>应急救援队伍建设</w:t>
            </w:r>
            <w:r>
              <w:rPr>
                <w:rFonts w:hint="eastAsia" w:cs="Times New Roman"/>
                <w:sz w:val="24"/>
                <w:szCs w:val="24"/>
                <w:lang w:val="en-US" w:eastAsia="zh-CN"/>
              </w:rPr>
              <w:t>与</w:t>
            </w:r>
            <w:r>
              <w:rPr>
                <w:rFonts w:hint="default" w:ascii="Times New Roman" w:hAnsi="Times New Roman" w:eastAsia="仿宋" w:cs="Times New Roman"/>
                <w:sz w:val="24"/>
                <w:szCs w:val="24"/>
              </w:rPr>
              <w:t>能力评估等工作；</w:t>
            </w:r>
          </w:p>
          <w:p w14:paraId="1C1322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③指导开展水源地突发环境事件</w:t>
            </w:r>
            <w:r>
              <w:rPr>
                <w:rFonts w:hint="eastAsia" w:cs="Times New Roman"/>
                <w:sz w:val="24"/>
                <w:szCs w:val="24"/>
                <w:lang w:val="en-US" w:eastAsia="zh-CN"/>
              </w:rPr>
              <w:t>的</w:t>
            </w:r>
            <w:r>
              <w:rPr>
                <w:rFonts w:hint="default" w:ascii="Times New Roman" w:hAnsi="Times New Roman" w:eastAsia="仿宋" w:cs="Times New Roman"/>
                <w:sz w:val="24"/>
                <w:szCs w:val="24"/>
              </w:rPr>
              <w:t>风险防范</w:t>
            </w:r>
            <w:r>
              <w:rPr>
                <w:rFonts w:hint="eastAsia" w:cs="Times New Roman"/>
                <w:sz w:val="24"/>
                <w:szCs w:val="24"/>
                <w:lang w:val="en-US" w:eastAsia="zh-CN"/>
              </w:rPr>
              <w:t>与</w:t>
            </w:r>
            <w:r>
              <w:rPr>
                <w:rFonts w:hint="default" w:ascii="Times New Roman" w:hAnsi="Times New Roman" w:eastAsia="仿宋" w:cs="Times New Roman"/>
                <w:sz w:val="24"/>
                <w:szCs w:val="24"/>
              </w:rPr>
              <w:t>应急准备工作</w:t>
            </w:r>
          </w:p>
        </w:tc>
        <w:tc>
          <w:tcPr>
            <w:tcW w:w="4590" w:type="dxa"/>
            <w:vMerge w:val="restart"/>
            <w:noWrap w:val="0"/>
            <w:vAlign w:val="center"/>
          </w:tcPr>
          <w:p w14:paraId="4DB80ED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①协助总指挥</w:t>
            </w:r>
            <w:r>
              <w:rPr>
                <w:rFonts w:hint="eastAsia" w:cs="Times New Roman"/>
                <w:sz w:val="24"/>
                <w:szCs w:val="24"/>
                <w:lang w:val="en-US" w:eastAsia="zh-CN"/>
              </w:rPr>
              <w:t>统筹</w:t>
            </w:r>
            <w:r>
              <w:rPr>
                <w:rFonts w:hint="default" w:ascii="Times New Roman" w:hAnsi="Times New Roman" w:eastAsia="仿宋" w:cs="Times New Roman"/>
                <w:sz w:val="24"/>
                <w:szCs w:val="24"/>
              </w:rPr>
              <w:t>组织现场应急处置</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63E43CA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②根据分工或总指挥</w:t>
            </w:r>
            <w:r>
              <w:rPr>
                <w:rFonts w:hint="eastAsia" w:cs="Times New Roman"/>
                <w:sz w:val="24"/>
                <w:szCs w:val="24"/>
                <w:lang w:val="en-US" w:eastAsia="zh-CN"/>
              </w:rPr>
              <w:t>的</w:t>
            </w:r>
            <w:r>
              <w:rPr>
                <w:rFonts w:hint="default" w:ascii="Times New Roman" w:hAnsi="Times New Roman" w:eastAsia="仿宋" w:cs="Times New Roman"/>
                <w:sz w:val="24"/>
                <w:szCs w:val="24"/>
              </w:rPr>
              <w:t>安排，负责现场具体</w:t>
            </w:r>
            <w:r>
              <w:rPr>
                <w:rFonts w:hint="eastAsia" w:cs="Times New Roman"/>
                <w:sz w:val="24"/>
                <w:szCs w:val="24"/>
                <w:lang w:val="en-US" w:eastAsia="zh-CN"/>
              </w:rPr>
              <w:t>的</w:t>
            </w:r>
            <w:r>
              <w:rPr>
                <w:rFonts w:hint="default" w:ascii="Times New Roman" w:hAnsi="Times New Roman" w:eastAsia="仿宋" w:cs="Times New Roman"/>
                <w:sz w:val="24"/>
                <w:szCs w:val="24"/>
              </w:rPr>
              <w:t>指挥</w:t>
            </w:r>
            <w:r>
              <w:rPr>
                <w:rFonts w:hint="eastAsia" w:cs="Times New Roman"/>
                <w:sz w:val="24"/>
                <w:szCs w:val="24"/>
                <w:lang w:val="en-US" w:eastAsia="zh-CN"/>
              </w:rPr>
              <w:t>与</w:t>
            </w:r>
            <w:r>
              <w:rPr>
                <w:rFonts w:hint="default" w:ascii="Times New Roman" w:hAnsi="Times New Roman" w:eastAsia="仿宋" w:cs="Times New Roman"/>
                <w:sz w:val="24"/>
                <w:szCs w:val="24"/>
              </w:rPr>
              <w:t>协调；</w:t>
            </w:r>
          </w:p>
          <w:p w14:paraId="611528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③提出应急处置</w:t>
            </w:r>
            <w:r>
              <w:rPr>
                <w:rFonts w:hint="eastAsia" w:cs="Times New Roman"/>
                <w:sz w:val="24"/>
                <w:szCs w:val="24"/>
                <w:lang w:val="en-US" w:eastAsia="zh-CN"/>
              </w:rPr>
              <w:t>相关</w:t>
            </w:r>
            <w:r>
              <w:rPr>
                <w:rFonts w:hint="default" w:ascii="Times New Roman" w:hAnsi="Times New Roman" w:eastAsia="仿宋" w:cs="Times New Roman"/>
                <w:sz w:val="24"/>
                <w:szCs w:val="24"/>
              </w:rPr>
              <w:t>建议；</w:t>
            </w:r>
          </w:p>
          <w:p w14:paraId="0A5D67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④负责向场外人员通报应急</w:t>
            </w:r>
            <w:r>
              <w:rPr>
                <w:rFonts w:hint="eastAsia" w:cs="Times New Roman"/>
                <w:sz w:val="24"/>
                <w:szCs w:val="24"/>
                <w:lang w:val="en-US" w:eastAsia="zh-CN"/>
              </w:rPr>
              <w:t>相关</w:t>
            </w:r>
            <w:r>
              <w:rPr>
                <w:rFonts w:hint="default" w:ascii="Times New Roman" w:hAnsi="Times New Roman" w:eastAsia="仿宋" w:cs="Times New Roman"/>
                <w:sz w:val="24"/>
                <w:szCs w:val="24"/>
              </w:rPr>
              <w:t>信息；</w:t>
            </w:r>
          </w:p>
          <w:p w14:paraId="7E7E58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⑤负责</w:t>
            </w:r>
            <w:r>
              <w:rPr>
                <w:rFonts w:hint="eastAsia" w:cs="Times New Roman"/>
                <w:sz w:val="24"/>
                <w:szCs w:val="24"/>
                <w:lang w:val="en-US" w:eastAsia="zh-CN"/>
              </w:rPr>
              <w:t>统筹</w:t>
            </w:r>
            <w:r>
              <w:rPr>
                <w:rFonts w:hint="default" w:ascii="Times New Roman" w:hAnsi="Times New Roman" w:eastAsia="仿宋" w:cs="Times New Roman"/>
                <w:sz w:val="24"/>
                <w:szCs w:val="24"/>
              </w:rPr>
              <w:t>协调现场与场外</w:t>
            </w:r>
            <w:r>
              <w:rPr>
                <w:rFonts w:hint="eastAsia" w:cs="Times New Roman"/>
                <w:sz w:val="24"/>
                <w:szCs w:val="24"/>
                <w:lang w:val="en-US" w:eastAsia="zh-CN"/>
              </w:rPr>
              <w:t>的</w:t>
            </w:r>
            <w:r>
              <w:rPr>
                <w:rFonts w:hint="default" w:ascii="Times New Roman" w:hAnsi="Times New Roman" w:eastAsia="仿宋" w:cs="Times New Roman"/>
                <w:sz w:val="24"/>
                <w:szCs w:val="24"/>
              </w:rPr>
              <w:t>应急处置工作；</w:t>
            </w:r>
          </w:p>
          <w:p w14:paraId="4D65800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⑥</w:t>
            </w:r>
            <w:r>
              <w:rPr>
                <w:rFonts w:hint="eastAsia" w:cs="Times New Roman"/>
                <w:sz w:val="24"/>
                <w:szCs w:val="24"/>
                <w:lang w:val="en-US" w:eastAsia="zh-CN"/>
              </w:rPr>
              <w:t>当</w:t>
            </w:r>
            <w:r>
              <w:rPr>
                <w:rFonts w:hint="default" w:ascii="Times New Roman" w:hAnsi="Times New Roman" w:eastAsia="仿宋" w:cs="Times New Roman"/>
                <w:sz w:val="24"/>
                <w:szCs w:val="24"/>
              </w:rPr>
              <w:t>取水停止后，</w:t>
            </w:r>
            <w:r>
              <w:rPr>
                <w:rFonts w:hint="eastAsia" w:cs="Times New Roman"/>
                <w:sz w:val="24"/>
                <w:szCs w:val="24"/>
                <w:lang w:val="en-US" w:eastAsia="zh-CN"/>
              </w:rPr>
              <w:t>牵头</w:t>
            </w:r>
            <w:r>
              <w:rPr>
                <w:rFonts w:hint="default" w:ascii="Times New Roman" w:hAnsi="Times New Roman" w:eastAsia="仿宋" w:cs="Times New Roman"/>
                <w:sz w:val="24"/>
                <w:szCs w:val="24"/>
              </w:rPr>
              <w:t>协调保障居民</w:t>
            </w:r>
            <w:r>
              <w:rPr>
                <w:rFonts w:hint="eastAsia" w:cs="Times New Roman"/>
                <w:sz w:val="24"/>
                <w:szCs w:val="24"/>
                <w:lang w:val="en-US" w:eastAsia="zh-CN"/>
              </w:rPr>
              <w:t>的</w:t>
            </w:r>
            <w:r>
              <w:rPr>
                <w:rFonts w:hint="default" w:ascii="Times New Roman" w:hAnsi="Times New Roman" w:eastAsia="仿宋" w:cs="Times New Roman"/>
                <w:sz w:val="24"/>
                <w:szCs w:val="24"/>
              </w:rPr>
              <w:t>用水；</w:t>
            </w:r>
          </w:p>
          <w:p w14:paraId="7BD91D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sz w:val="24"/>
                <w:szCs w:val="24"/>
                <w:lang w:eastAsia="zh-CN"/>
              </w:rPr>
            </w:pPr>
            <w:r>
              <w:rPr>
                <w:rFonts w:hint="default" w:ascii="Times New Roman" w:hAnsi="Times New Roman" w:eastAsia="仿宋" w:cs="Times New Roman"/>
                <w:sz w:val="24"/>
                <w:szCs w:val="24"/>
              </w:rPr>
              <w:t>⑦</w:t>
            </w:r>
            <w:r>
              <w:rPr>
                <w:rFonts w:hint="eastAsia" w:cs="Times New Roman"/>
                <w:sz w:val="24"/>
                <w:szCs w:val="24"/>
                <w:lang w:val="en-US" w:eastAsia="zh-CN"/>
              </w:rPr>
              <w:t>及时</w:t>
            </w:r>
            <w:r>
              <w:rPr>
                <w:rFonts w:hint="default" w:ascii="Times New Roman" w:hAnsi="Times New Roman" w:eastAsia="仿宋" w:cs="Times New Roman"/>
                <w:sz w:val="24"/>
                <w:szCs w:val="24"/>
              </w:rPr>
              <w:t>处置现场</w:t>
            </w:r>
            <w:r>
              <w:rPr>
                <w:rFonts w:hint="eastAsia" w:cs="Times New Roman"/>
                <w:sz w:val="24"/>
                <w:szCs w:val="24"/>
                <w:lang w:val="en-US" w:eastAsia="zh-CN"/>
              </w:rPr>
              <w:t>突发</w:t>
            </w:r>
            <w:r>
              <w:rPr>
                <w:rFonts w:hint="default" w:ascii="Times New Roman" w:hAnsi="Times New Roman" w:eastAsia="仿宋" w:cs="Times New Roman"/>
                <w:sz w:val="24"/>
                <w:szCs w:val="24"/>
              </w:rPr>
              <w:t>的</w:t>
            </w:r>
            <w:r>
              <w:rPr>
                <w:rFonts w:hint="eastAsia" w:cs="Times New Roman"/>
                <w:sz w:val="24"/>
                <w:szCs w:val="24"/>
                <w:lang w:val="en-US" w:eastAsia="zh-CN"/>
              </w:rPr>
              <w:t>各类</w:t>
            </w:r>
            <w:r>
              <w:rPr>
                <w:rFonts w:hint="default" w:ascii="Times New Roman" w:hAnsi="Times New Roman" w:eastAsia="仿宋" w:cs="Times New Roman"/>
                <w:sz w:val="24"/>
                <w:szCs w:val="24"/>
              </w:rPr>
              <w:t>紧急情况。</w:t>
            </w:r>
          </w:p>
        </w:tc>
      </w:tr>
      <w:tr w14:paraId="113F0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73662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566908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阮云波</w:t>
            </w:r>
          </w:p>
        </w:tc>
        <w:tc>
          <w:tcPr>
            <w:tcW w:w="600" w:type="pct"/>
            <w:shd w:val="clear" w:color="auto" w:fill="auto"/>
            <w:noWrap w:val="0"/>
            <w:vAlign w:val="center"/>
          </w:tcPr>
          <w:p w14:paraId="2C8E0F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0358-2157211</w:t>
            </w:r>
          </w:p>
        </w:tc>
        <w:tc>
          <w:tcPr>
            <w:tcW w:w="486" w:type="pct"/>
            <w:shd w:val="clear" w:color="auto" w:fill="auto"/>
            <w:noWrap w:val="0"/>
            <w:vAlign w:val="center"/>
          </w:tcPr>
          <w:p w14:paraId="0B1C06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杏花村镇人民政府</w:t>
            </w:r>
            <w:r>
              <w:rPr>
                <w:rFonts w:hint="eastAsia" w:cs="Times New Roman"/>
                <w:sz w:val="24"/>
                <w:szCs w:val="24"/>
                <w:lang w:val="en-US" w:eastAsia="zh-CN"/>
              </w:rPr>
              <w:t>镇长</w:t>
            </w:r>
          </w:p>
        </w:tc>
        <w:tc>
          <w:tcPr>
            <w:tcW w:w="1206" w:type="pct"/>
            <w:vMerge w:val="continue"/>
            <w:noWrap w:val="0"/>
            <w:vAlign w:val="center"/>
          </w:tcPr>
          <w:p w14:paraId="626E5A9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5A8F52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411A0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11351B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39F2D1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芦峰</w:t>
            </w:r>
          </w:p>
        </w:tc>
        <w:tc>
          <w:tcPr>
            <w:tcW w:w="600" w:type="pct"/>
            <w:shd w:val="clear" w:color="auto" w:fill="auto"/>
            <w:noWrap w:val="0"/>
            <w:vAlign w:val="center"/>
          </w:tcPr>
          <w:p w14:paraId="212861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0358-7366206</w:t>
            </w:r>
          </w:p>
        </w:tc>
        <w:tc>
          <w:tcPr>
            <w:tcW w:w="486" w:type="pct"/>
            <w:shd w:val="clear" w:color="auto" w:fill="auto"/>
            <w:noWrap w:val="0"/>
            <w:vAlign w:val="center"/>
          </w:tcPr>
          <w:p w14:paraId="1EDE6E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冀村镇人民政府</w:t>
            </w:r>
            <w:r>
              <w:rPr>
                <w:rFonts w:hint="eastAsia" w:cs="Times New Roman"/>
                <w:sz w:val="24"/>
                <w:szCs w:val="24"/>
                <w:lang w:val="en-US" w:eastAsia="zh-CN"/>
              </w:rPr>
              <w:t>镇长</w:t>
            </w:r>
          </w:p>
        </w:tc>
        <w:tc>
          <w:tcPr>
            <w:tcW w:w="1206" w:type="pct"/>
            <w:vMerge w:val="continue"/>
            <w:noWrap w:val="0"/>
            <w:vAlign w:val="center"/>
          </w:tcPr>
          <w:p w14:paraId="60D9797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080994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1D3D0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01D616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5AFC0D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张志胜</w:t>
            </w:r>
          </w:p>
        </w:tc>
        <w:tc>
          <w:tcPr>
            <w:tcW w:w="600" w:type="pct"/>
            <w:shd w:val="clear" w:color="auto" w:fill="auto"/>
            <w:noWrap w:val="0"/>
            <w:vAlign w:val="center"/>
          </w:tcPr>
          <w:p w14:paraId="03B3F8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0358-7550878</w:t>
            </w:r>
          </w:p>
        </w:tc>
        <w:tc>
          <w:tcPr>
            <w:tcW w:w="486" w:type="pct"/>
            <w:shd w:val="clear" w:color="auto" w:fill="auto"/>
            <w:noWrap w:val="0"/>
            <w:vAlign w:val="center"/>
          </w:tcPr>
          <w:p w14:paraId="7128B6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肖家庄镇人民政府</w:t>
            </w:r>
            <w:r>
              <w:rPr>
                <w:rFonts w:hint="eastAsia" w:cs="Times New Roman"/>
                <w:sz w:val="24"/>
                <w:szCs w:val="24"/>
                <w:lang w:val="en-US" w:eastAsia="zh-CN"/>
              </w:rPr>
              <w:t>镇长</w:t>
            </w:r>
          </w:p>
        </w:tc>
        <w:tc>
          <w:tcPr>
            <w:tcW w:w="1206" w:type="pct"/>
            <w:vMerge w:val="continue"/>
            <w:noWrap w:val="0"/>
            <w:vAlign w:val="center"/>
          </w:tcPr>
          <w:p w14:paraId="00BF90E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708F3CA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0D279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0F2D1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64515C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张麒麟</w:t>
            </w:r>
          </w:p>
        </w:tc>
        <w:tc>
          <w:tcPr>
            <w:tcW w:w="600" w:type="pct"/>
            <w:shd w:val="clear" w:color="auto" w:fill="auto"/>
            <w:noWrap w:val="0"/>
            <w:vAlign w:val="center"/>
          </w:tcPr>
          <w:p w14:paraId="1433FE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0358-7560317</w:t>
            </w:r>
          </w:p>
        </w:tc>
        <w:tc>
          <w:tcPr>
            <w:tcW w:w="486" w:type="pct"/>
            <w:shd w:val="clear" w:color="auto" w:fill="auto"/>
            <w:noWrap w:val="0"/>
            <w:vAlign w:val="center"/>
          </w:tcPr>
          <w:p w14:paraId="6BD16F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演武镇人民政府</w:t>
            </w:r>
            <w:r>
              <w:rPr>
                <w:rFonts w:hint="eastAsia" w:cs="Times New Roman"/>
                <w:sz w:val="24"/>
                <w:szCs w:val="24"/>
                <w:lang w:val="en-US" w:eastAsia="zh-CN"/>
              </w:rPr>
              <w:t>镇长</w:t>
            </w:r>
          </w:p>
        </w:tc>
        <w:tc>
          <w:tcPr>
            <w:tcW w:w="1206" w:type="pct"/>
            <w:vMerge w:val="continue"/>
            <w:noWrap w:val="0"/>
            <w:vAlign w:val="center"/>
          </w:tcPr>
          <w:p w14:paraId="2AD3540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74A809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695D4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752" w:type="pct"/>
            <w:gridSpan w:val="2"/>
            <w:vMerge w:val="continue"/>
            <w:noWrap w:val="0"/>
            <w:vAlign w:val="center"/>
          </w:tcPr>
          <w:p w14:paraId="3DEAD4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7C4F92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张建生</w:t>
            </w:r>
          </w:p>
        </w:tc>
        <w:tc>
          <w:tcPr>
            <w:tcW w:w="600" w:type="pct"/>
            <w:shd w:val="clear" w:color="auto" w:fill="auto"/>
            <w:noWrap w:val="0"/>
            <w:vAlign w:val="center"/>
          </w:tcPr>
          <w:p w14:paraId="2C53A6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0358-2107880</w:t>
            </w:r>
          </w:p>
        </w:tc>
        <w:tc>
          <w:tcPr>
            <w:tcW w:w="486" w:type="pct"/>
            <w:shd w:val="clear" w:color="auto" w:fill="auto"/>
            <w:noWrap w:val="0"/>
            <w:vAlign w:val="center"/>
          </w:tcPr>
          <w:p w14:paraId="6E476E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三泉镇人民政府</w:t>
            </w:r>
            <w:r>
              <w:rPr>
                <w:rFonts w:hint="eastAsia" w:cs="Times New Roman"/>
                <w:sz w:val="24"/>
                <w:szCs w:val="24"/>
                <w:lang w:val="en-US" w:eastAsia="zh-CN"/>
              </w:rPr>
              <w:t>镇长</w:t>
            </w:r>
          </w:p>
        </w:tc>
        <w:tc>
          <w:tcPr>
            <w:tcW w:w="1206" w:type="pct"/>
            <w:vMerge w:val="continue"/>
            <w:noWrap w:val="0"/>
            <w:vAlign w:val="center"/>
          </w:tcPr>
          <w:p w14:paraId="06D2786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5120A59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65B12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1E9D88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7DE188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eastAsia" w:cs="Times New Roman"/>
                <w:sz w:val="24"/>
                <w:szCs w:val="24"/>
                <w:lang w:val="en-US" w:eastAsia="zh-CN"/>
              </w:rPr>
              <w:t>温靖慜</w:t>
            </w:r>
          </w:p>
        </w:tc>
        <w:tc>
          <w:tcPr>
            <w:tcW w:w="600" w:type="pct"/>
            <w:shd w:val="clear" w:color="auto" w:fill="auto"/>
            <w:noWrap w:val="0"/>
            <w:vAlign w:val="center"/>
          </w:tcPr>
          <w:p w14:paraId="7D1854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0358-7529993</w:t>
            </w:r>
          </w:p>
        </w:tc>
        <w:tc>
          <w:tcPr>
            <w:tcW w:w="486" w:type="pct"/>
            <w:shd w:val="clear" w:color="auto" w:fill="auto"/>
            <w:noWrap w:val="0"/>
            <w:vAlign w:val="center"/>
          </w:tcPr>
          <w:p w14:paraId="10CCD1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杨家庄镇人民政府</w:t>
            </w:r>
            <w:r>
              <w:rPr>
                <w:rFonts w:hint="eastAsia" w:cs="Times New Roman"/>
                <w:sz w:val="24"/>
                <w:szCs w:val="24"/>
                <w:lang w:val="en-US" w:eastAsia="zh-CN"/>
              </w:rPr>
              <w:t>镇长</w:t>
            </w:r>
          </w:p>
        </w:tc>
        <w:tc>
          <w:tcPr>
            <w:tcW w:w="1206" w:type="pct"/>
            <w:vMerge w:val="continue"/>
            <w:noWrap w:val="0"/>
            <w:vAlign w:val="center"/>
          </w:tcPr>
          <w:p w14:paraId="62D258C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3B19667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65365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156F9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22BF81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陈文泉</w:t>
            </w:r>
          </w:p>
        </w:tc>
        <w:tc>
          <w:tcPr>
            <w:tcW w:w="600" w:type="pct"/>
            <w:shd w:val="clear" w:color="auto" w:fill="auto"/>
            <w:noWrap w:val="0"/>
            <w:vAlign w:val="center"/>
          </w:tcPr>
          <w:p w14:paraId="4CB857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0358-7555506</w:t>
            </w:r>
          </w:p>
        </w:tc>
        <w:tc>
          <w:tcPr>
            <w:tcW w:w="486" w:type="pct"/>
            <w:shd w:val="clear" w:color="auto" w:fill="auto"/>
            <w:noWrap w:val="0"/>
            <w:vAlign w:val="center"/>
          </w:tcPr>
          <w:p w14:paraId="29B727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峪道河镇人民政府</w:t>
            </w:r>
            <w:r>
              <w:rPr>
                <w:rFonts w:hint="eastAsia" w:cs="Times New Roman"/>
                <w:sz w:val="24"/>
                <w:szCs w:val="24"/>
                <w:lang w:val="en-US" w:eastAsia="zh-CN"/>
              </w:rPr>
              <w:t>镇长</w:t>
            </w:r>
          </w:p>
        </w:tc>
        <w:tc>
          <w:tcPr>
            <w:tcW w:w="1206" w:type="pct"/>
            <w:vMerge w:val="continue"/>
            <w:noWrap w:val="0"/>
            <w:vAlign w:val="center"/>
          </w:tcPr>
          <w:p w14:paraId="17DE04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5CD13BF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43931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35BC5D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3E8CDB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郝艳兵</w:t>
            </w:r>
          </w:p>
        </w:tc>
        <w:tc>
          <w:tcPr>
            <w:tcW w:w="600" w:type="pct"/>
            <w:shd w:val="clear" w:color="auto" w:fill="auto"/>
            <w:noWrap w:val="0"/>
            <w:vAlign w:val="center"/>
          </w:tcPr>
          <w:p w14:paraId="7C120B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0358-7500363</w:t>
            </w:r>
          </w:p>
        </w:tc>
        <w:tc>
          <w:tcPr>
            <w:tcW w:w="486" w:type="pct"/>
            <w:shd w:val="clear" w:color="auto" w:fill="auto"/>
            <w:noWrap w:val="0"/>
            <w:vAlign w:val="center"/>
          </w:tcPr>
          <w:p w14:paraId="59A967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阳城</w:t>
            </w:r>
            <w:r>
              <w:rPr>
                <w:rFonts w:hint="eastAsia" w:ascii="Times New Roman" w:hAnsi="Times New Roman" w:cs="Times New Roman"/>
                <w:sz w:val="24"/>
                <w:szCs w:val="24"/>
                <w:lang w:val="en-US" w:eastAsia="zh-CN"/>
              </w:rPr>
              <w:t>镇</w:t>
            </w:r>
            <w:r>
              <w:rPr>
                <w:rFonts w:hint="default" w:ascii="Times New Roman" w:hAnsi="Times New Roman" w:eastAsia="仿宋" w:cs="Times New Roman"/>
                <w:sz w:val="24"/>
                <w:szCs w:val="24"/>
                <w:lang w:val="en-US" w:eastAsia="zh-CN"/>
              </w:rPr>
              <w:t>人民政府</w:t>
            </w:r>
            <w:r>
              <w:rPr>
                <w:rFonts w:hint="eastAsia" w:cs="Times New Roman"/>
                <w:sz w:val="24"/>
                <w:szCs w:val="24"/>
                <w:lang w:val="en-US" w:eastAsia="zh-CN"/>
              </w:rPr>
              <w:t>镇长</w:t>
            </w:r>
          </w:p>
        </w:tc>
        <w:tc>
          <w:tcPr>
            <w:tcW w:w="1206" w:type="pct"/>
            <w:vMerge w:val="continue"/>
            <w:noWrap w:val="0"/>
            <w:vAlign w:val="center"/>
          </w:tcPr>
          <w:p w14:paraId="11101D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0A113FF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06301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022FF8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0A1D23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王欢</w:t>
            </w:r>
          </w:p>
        </w:tc>
        <w:tc>
          <w:tcPr>
            <w:tcW w:w="600" w:type="pct"/>
            <w:shd w:val="clear" w:color="auto" w:fill="auto"/>
            <w:noWrap w:val="0"/>
            <w:vAlign w:val="center"/>
          </w:tcPr>
          <w:p w14:paraId="2C3422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0358-7370569</w:t>
            </w:r>
          </w:p>
        </w:tc>
        <w:tc>
          <w:tcPr>
            <w:tcW w:w="486" w:type="pct"/>
            <w:shd w:val="clear" w:color="auto" w:fill="auto"/>
            <w:noWrap w:val="0"/>
            <w:vAlign w:val="center"/>
          </w:tcPr>
          <w:p w14:paraId="6956F2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栗家庄</w:t>
            </w:r>
            <w:r>
              <w:rPr>
                <w:rFonts w:hint="eastAsia" w:cs="Times New Roman"/>
                <w:sz w:val="24"/>
                <w:szCs w:val="24"/>
                <w:lang w:val="en-US" w:eastAsia="zh-CN"/>
              </w:rPr>
              <w:t>镇</w:t>
            </w:r>
            <w:r>
              <w:rPr>
                <w:rFonts w:hint="default" w:ascii="Times New Roman" w:hAnsi="Times New Roman" w:eastAsia="仿宋" w:cs="Times New Roman"/>
                <w:sz w:val="24"/>
                <w:szCs w:val="24"/>
                <w:lang w:val="en-US" w:eastAsia="zh-CN"/>
              </w:rPr>
              <w:t>人民政府</w:t>
            </w:r>
            <w:r>
              <w:rPr>
                <w:rFonts w:hint="eastAsia" w:cs="Times New Roman"/>
                <w:sz w:val="24"/>
                <w:szCs w:val="24"/>
                <w:lang w:val="en-US" w:eastAsia="zh-CN"/>
              </w:rPr>
              <w:t>镇长</w:t>
            </w:r>
          </w:p>
        </w:tc>
        <w:tc>
          <w:tcPr>
            <w:tcW w:w="1206" w:type="pct"/>
            <w:vMerge w:val="continue"/>
            <w:noWrap w:val="0"/>
            <w:vAlign w:val="center"/>
          </w:tcPr>
          <w:p w14:paraId="4C25388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CCBCF3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05203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4D6EA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0E3AFC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宋天虎</w:t>
            </w:r>
          </w:p>
        </w:tc>
        <w:tc>
          <w:tcPr>
            <w:tcW w:w="600" w:type="pct"/>
            <w:shd w:val="clear" w:color="auto" w:fill="auto"/>
            <w:noWrap w:val="0"/>
            <w:vAlign w:val="center"/>
          </w:tcPr>
          <w:p w14:paraId="7DA63B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0358-7281638</w:t>
            </w:r>
          </w:p>
        </w:tc>
        <w:tc>
          <w:tcPr>
            <w:tcW w:w="486" w:type="pct"/>
            <w:shd w:val="clear" w:color="auto" w:fill="auto"/>
            <w:noWrap w:val="0"/>
            <w:vAlign w:val="center"/>
          </w:tcPr>
          <w:p w14:paraId="7130EC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石庄镇人民政府</w:t>
            </w:r>
            <w:r>
              <w:rPr>
                <w:rFonts w:hint="eastAsia" w:cs="Times New Roman"/>
                <w:sz w:val="24"/>
                <w:szCs w:val="24"/>
                <w:lang w:val="en-US" w:eastAsia="zh-CN"/>
              </w:rPr>
              <w:t>镇长</w:t>
            </w:r>
          </w:p>
        </w:tc>
        <w:tc>
          <w:tcPr>
            <w:tcW w:w="1206" w:type="pct"/>
            <w:vMerge w:val="continue"/>
            <w:noWrap w:val="0"/>
            <w:vAlign w:val="center"/>
          </w:tcPr>
          <w:p w14:paraId="2B4C24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799216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27F93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restart"/>
            <w:noWrap w:val="0"/>
            <w:vAlign w:val="center"/>
          </w:tcPr>
          <w:p w14:paraId="394720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应急办公室</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设在</w:t>
            </w:r>
            <w:r>
              <w:rPr>
                <w:rFonts w:hint="eastAsia" w:cs="Times New Roman"/>
                <w:sz w:val="24"/>
                <w:szCs w:val="24"/>
                <w:lang w:val="en-US" w:eastAsia="zh-CN"/>
              </w:rPr>
              <w:t>各水源地所在乡镇人民政府</w:t>
            </w:r>
            <w:r>
              <w:rPr>
                <w:rFonts w:hint="default" w:ascii="Times New Roman" w:hAnsi="Times New Roman" w:eastAsia="仿宋" w:cs="Times New Roman"/>
                <w:sz w:val="24"/>
                <w:szCs w:val="24"/>
                <w:lang w:eastAsia="zh-CN"/>
              </w:rPr>
              <w:t>）</w:t>
            </w:r>
          </w:p>
        </w:tc>
        <w:tc>
          <w:tcPr>
            <w:tcW w:w="348" w:type="pct"/>
            <w:shd w:val="clear" w:color="auto" w:fill="auto"/>
            <w:noWrap w:val="0"/>
            <w:vAlign w:val="center"/>
          </w:tcPr>
          <w:p w14:paraId="2664AF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刘静</w:t>
            </w:r>
          </w:p>
        </w:tc>
        <w:tc>
          <w:tcPr>
            <w:tcW w:w="600" w:type="pct"/>
            <w:shd w:val="clear" w:color="auto" w:fill="auto"/>
            <w:noWrap w:val="0"/>
            <w:vAlign w:val="center"/>
          </w:tcPr>
          <w:p w14:paraId="24C655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0358-7380074</w:t>
            </w:r>
          </w:p>
        </w:tc>
        <w:tc>
          <w:tcPr>
            <w:tcW w:w="486" w:type="pct"/>
            <w:shd w:val="clear" w:color="auto" w:fill="auto"/>
            <w:noWrap w:val="0"/>
            <w:vAlign w:val="center"/>
          </w:tcPr>
          <w:p w14:paraId="218E25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贾家庄镇人民政府</w:t>
            </w:r>
            <w:r>
              <w:rPr>
                <w:rFonts w:hint="eastAsia" w:cs="Times New Roman"/>
                <w:sz w:val="24"/>
                <w:szCs w:val="24"/>
                <w:lang w:val="en-US" w:eastAsia="zh-CN"/>
              </w:rPr>
              <w:t>镇长</w:t>
            </w:r>
          </w:p>
        </w:tc>
        <w:tc>
          <w:tcPr>
            <w:tcW w:w="1206" w:type="pct"/>
            <w:vMerge w:val="restart"/>
            <w:noWrap w:val="0"/>
            <w:vAlign w:val="center"/>
          </w:tcPr>
          <w:p w14:paraId="42DFE6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①负责水源地应急预案的日常管理，开展预案培训和演练、应急救援队伍建设和能力评估等工作；</w:t>
            </w:r>
          </w:p>
          <w:p w14:paraId="3825AD8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②组织开展水源地突发环境事件风险防范和应急准备工作</w:t>
            </w:r>
          </w:p>
          <w:p w14:paraId="2ED4713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③辖区水源地的保护和管理</w:t>
            </w:r>
          </w:p>
        </w:tc>
        <w:tc>
          <w:tcPr>
            <w:tcW w:w="1605" w:type="pct"/>
            <w:vMerge w:val="restart"/>
            <w:noWrap w:val="0"/>
            <w:vAlign w:val="center"/>
          </w:tcPr>
          <w:p w14:paraId="53CD15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①贯彻执行总指挥、副总指挥的各项指令和要求；</w:t>
            </w:r>
          </w:p>
          <w:p w14:paraId="2BC2E7F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②负责信息汇总上报，并与有关的外部应急部门、组织和机构进行联络；</w:t>
            </w:r>
          </w:p>
          <w:p w14:paraId="51FA64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③负责调动应急人员、调配应急资源和联络外部应急组织或机构；</w:t>
            </w:r>
          </w:p>
          <w:p w14:paraId="2837BC1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sz w:val="24"/>
                <w:szCs w:val="24"/>
                <w:lang w:eastAsia="zh-CN"/>
              </w:rPr>
            </w:pPr>
            <w:r>
              <w:rPr>
                <w:rFonts w:hint="default" w:ascii="Times New Roman" w:hAnsi="Times New Roman" w:eastAsia="仿宋" w:cs="Times New Roman"/>
                <w:sz w:val="24"/>
                <w:szCs w:val="24"/>
              </w:rPr>
              <w:t>④收集整理有关事件数据</w:t>
            </w:r>
            <w:r>
              <w:rPr>
                <w:rFonts w:hint="eastAsia" w:cs="Times New Roman"/>
                <w:sz w:val="24"/>
                <w:szCs w:val="24"/>
                <w:lang w:eastAsia="zh-CN"/>
              </w:rPr>
              <w:t>；</w:t>
            </w:r>
          </w:p>
          <w:p w14:paraId="678907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sz w:val="24"/>
                <w:szCs w:val="24"/>
                <w:lang w:eastAsia="zh-CN"/>
              </w:rPr>
            </w:pPr>
            <w:r>
              <w:rPr>
                <w:rFonts w:hint="eastAsia" w:ascii="微软雅黑" w:hAnsi="微软雅黑" w:eastAsia="微软雅黑" w:cs="微软雅黑"/>
                <w:sz w:val="24"/>
                <w:szCs w:val="24"/>
              </w:rPr>
              <w:t>⑤</w:t>
            </w:r>
            <w:r>
              <w:rPr>
                <w:rFonts w:hint="default" w:ascii="Times New Roman" w:hAnsi="Times New Roman" w:eastAsia="仿宋" w:cs="Times New Roman"/>
                <w:sz w:val="24"/>
                <w:szCs w:val="24"/>
              </w:rPr>
              <w:t>负责协调区域资源调配；落实指挥部下达到的指令；组织受影响群众的转移和安置</w:t>
            </w:r>
          </w:p>
          <w:p w14:paraId="268F0B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1F368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0942C9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33E305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阮云波</w:t>
            </w:r>
          </w:p>
        </w:tc>
        <w:tc>
          <w:tcPr>
            <w:tcW w:w="600" w:type="pct"/>
            <w:shd w:val="clear" w:color="auto" w:fill="auto"/>
            <w:noWrap w:val="0"/>
            <w:vAlign w:val="center"/>
          </w:tcPr>
          <w:p w14:paraId="55E05B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0358-2157211</w:t>
            </w:r>
          </w:p>
        </w:tc>
        <w:tc>
          <w:tcPr>
            <w:tcW w:w="486" w:type="pct"/>
            <w:shd w:val="clear" w:color="auto" w:fill="auto"/>
            <w:noWrap w:val="0"/>
            <w:vAlign w:val="center"/>
          </w:tcPr>
          <w:p w14:paraId="22A8C8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杏花村镇人民政府</w:t>
            </w:r>
            <w:r>
              <w:rPr>
                <w:rFonts w:hint="eastAsia" w:cs="Times New Roman"/>
                <w:sz w:val="24"/>
                <w:szCs w:val="24"/>
                <w:lang w:val="en-US" w:eastAsia="zh-CN"/>
              </w:rPr>
              <w:t>镇长</w:t>
            </w:r>
          </w:p>
        </w:tc>
        <w:tc>
          <w:tcPr>
            <w:tcW w:w="1206" w:type="pct"/>
            <w:vMerge w:val="continue"/>
            <w:noWrap w:val="0"/>
            <w:vAlign w:val="center"/>
          </w:tcPr>
          <w:p w14:paraId="0E29536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47A57A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7D2C8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7204B8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18450A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芦峰</w:t>
            </w:r>
          </w:p>
        </w:tc>
        <w:tc>
          <w:tcPr>
            <w:tcW w:w="600" w:type="pct"/>
            <w:shd w:val="clear" w:color="auto" w:fill="auto"/>
            <w:noWrap w:val="0"/>
            <w:vAlign w:val="center"/>
          </w:tcPr>
          <w:p w14:paraId="0A4AD5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0358-7366206</w:t>
            </w:r>
          </w:p>
        </w:tc>
        <w:tc>
          <w:tcPr>
            <w:tcW w:w="486" w:type="pct"/>
            <w:shd w:val="clear" w:color="auto" w:fill="auto"/>
            <w:noWrap w:val="0"/>
            <w:vAlign w:val="center"/>
          </w:tcPr>
          <w:p w14:paraId="598710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冀村镇人民政府</w:t>
            </w:r>
            <w:r>
              <w:rPr>
                <w:rFonts w:hint="eastAsia" w:cs="Times New Roman"/>
                <w:sz w:val="24"/>
                <w:szCs w:val="24"/>
                <w:lang w:val="en-US" w:eastAsia="zh-CN"/>
              </w:rPr>
              <w:t>镇长</w:t>
            </w:r>
          </w:p>
        </w:tc>
        <w:tc>
          <w:tcPr>
            <w:tcW w:w="1206" w:type="pct"/>
            <w:vMerge w:val="continue"/>
            <w:noWrap w:val="0"/>
            <w:vAlign w:val="center"/>
          </w:tcPr>
          <w:p w14:paraId="4900C04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02E1A5C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7487D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53796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1C016B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张志胜</w:t>
            </w:r>
          </w:p>
        </w:tc>
        <w:tc>
          <w:tcPr>
            <w:tcW w:w="600" w:type="pct"/>
            <w:shd w:val="clear" w:color="auto" w:fill="auto"/>
            <w:noWrap w:val="0"/>
            <w:vAlign w:val="center"/>
          </w:tcPr>
          <w:p w14:paraId="18F2CB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0358-7550878</w:t>
            </w:r>
          </w:p>
        </w:tc>
        <w:tc>
          <w:tcPr>
            <w:tcW w:w="486" w:type="pct"/>
            <w:shd w:val="clear" w:color="auto" w:fill="auto"/>
            <w:noWrap w:val="0"/>
            <w:vAlign w:val="center"/>
          </w:tcPr>
          <w:p w14:paraId="47F89F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肖家庄镇人民政府</w:t>
            </w:r>
            <w:r>
              <w:rPr>
                <w:rFonts w:hint="eastAsia" w:cs="Times New Roman"/>
                <w:sz w:val="24"/>
                <w:szCs w:val="24"/>
                <w:lang w:val="en-US" w:eastAsia="zh-CN"/>
              </w:rPr>
              <w:t>镇长</w:t>
            </w:r>
          </w:p>
        </w:tc>
        <w:tc>
          <w:tcPr>
            <w:tcW w:w="1206" w:type="pct"/>
            <w:vMerge w:val="continue"/>
            <w:noWrap w:val="0"/>
            <w:vAlign w:val="center"/>
          </w:tcPr>
          <w:p w14:paraId="3337F2A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7DF1F8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302AC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6F60E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120809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张麒麟</w:t>
            </w:r>
          </w:p>
        </w:tc>
        <w:tc>
          <w:tcPr>
            <w:tcW w:w="600" w:type="pct"/>
            <w:shd w:val="clear" w:color="auto" w:fill="auto"/>
            <w:noWrap w:val="0"/>
            <w:vAlign w:val="center"/>
          </w:tcPr>
          <w:p w14:paraId="6607BA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0358-7560317</w:t>
            </w:r>
          </w:p>
        </w:tc>
        <w:tc>
          <w:tcPr>
            <w:tcW w:w="486" w:type="pct"/>
            <w:shd w:val="clear" w:color="auto" w:fill="auto"/>
            <w:noWrap w:val="0"/>
            <w:vAlign w:val="center"/>
          </w:tcPr>
          <w:p w14:paraId="589002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演武镇人民政府</w:t>
            </w:r>
            <w:r>
              <w:rPr>
                <w:rFonts w:hint="eastAsia" w:cs="Times New Roman"/>
                <w:sz w:val="24"/>
                <w:szCs w:val="24"/>
                <w:lang w:val="en-US" w:eastAsia="zh-CN"/>
              </w:rPr>
              <w:t>镇长</w:t>
            </w:r>
          </w:p>
        </w:tc>
        <w:tc>
          <w:tcPr>
            <w:tcW w:w="1206" w:type="pct"/>
            <w:vMerge w:val="continue"/>
            <w:noWrap w:val="0"/>
            <w:vAlign w:val="center"/>
          </w:tcPr>
          <w:p w14:paraId="5D2F140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3869C2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17D13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3CC975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5C8331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张建生</w:t>
            </w:r>
          </w:p>
        </w:tc>
        <w:tc>
          <w:tcPr>
            <w:tcW w:w="600" w:type="pct"/>
            <w:shd w:val="clear" w:color="auto" w:fill="auto"/>
            <w:noWrap w:val="0"/>
            <w:vAlign w:val="center"/>
          </w:tcPr>
          <w:p w14:paraId="0BCAEF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0358-2107880</w:t>
            </w:r>
          </w:p>
        </w:tc>
        <w:tc>
          <w:tcPr>
            <w:tcW w:w="486" w:type="pct"/>
            <w:shd w:val="clear" w:color="auto" w:fill="auto"/>
            <w:noWrap w:val="0"/>
            <w:vAlign w:val="center"/>
          </w:tcPr>
          <w:p w14:paraId="6FE59C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三泉镇人民政府</w:t>
            </w:r>
            <w:r>
              <w:rPr>
                <w:rFonts w:hint="eastAsia" w:cs="Times New Roman"/>
                <w:sz w:val="24"/>
                <w:szCs w:val="24"/>
                <w:lang w:val="en-US" w:eastAsia="zh-CN"/>
              </w:rPr>
              <w:t>镇长</w:t>
            </w:r>
          </w:p>
        </w:tc>
        <w:tc>
          <w:tcPr>
            <w:tcW w:w="1206" w:type="pct"/>
            <w:vMerge w:val="continue"/>
            <w:noWrap w:val="0"/>
            <w:vAlign w:val="center"/>
          </w:tcPr>
          <w:p w14:paraId="4747BE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069A2EB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38627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1ECBD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7B9148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eastAsia" w:cs="Times New Roman"/>
                <w:sz w:val="24"/>
                <w:szCs w:val="24"/>
                <w:lang w:val="en-US" w:eastAsia="zh-CN"/>
              </w:rPr>
              <w:t>温靖慜</w:t>
            </w:r>
          </w:p>
        </w:tc>
        <w:tc>
          <w:tcPr>
            <w:tcW w:w="600" w:type="pct"/>
            <w:shd w:val="clear" w:color="auto" w:fill="auto"/>
            <w:noWrap w:val="0"/>
            <w:vAlign w:val="center"/>
          </w:tcPr>
          <w:p w14:paraId="750FE6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0358-7529993</w:t>
            </w:r>
          </w:p>
        </w:tc>
        <w:tc>
          <w:tcPr>
            <w:tcW w:w="486" w:type="pct"/>
            <w:shd w:val="clear" w:color="auto" w:fill="auto"/>
            <w:noWrap w:val="0"/>
            <w:vAlign w:val="center"/>
          </w:tcPr>
          <w:p w14:paraId="5A365C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杨家庄镇人民政府</w:t>
            </w:r>
            <w:r>
              <w:rPr>
                <w:rFonts w:hint="eastAsia" w:cs="Times New Roman"/>
                <w:sz w:val="24"/>
                <w:szCs w:val="24"/>
                <w:lang w:val="en-US" w:eastAsia="zh-CN"/>
              </w:rPr>
              <w:t>镇长</w:t>
            </w:r>
          </w:p>
        </w:tc>
        <w:tc>
          <w:tcPr>
            <w:tcW w:w="1206" w:type="pct"/>
            <w:vMerge w:val="continue"/>
            <w:noWrap w:val="0"/>
            <w:vAlign w:val="center"/>
          </w:tcPr>
          <w:p w14:paraId="38BF17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FCEE48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743C6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4D02ED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0A5522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陈文泉</w:t>
            </w:r>
          </w:p>
        </w:tc>
        <w:tc>
          <w:tcPr>
            <w:tcW w:w="600" w:type="pct"/>
            <w:shd w:val="clear" w:color="auto" w:fill="auto"/>
            <w:noWrap w:val="0"/>
            <w:vAlign w:val="center"/>
          </w:tcPr>
          <w:p w14:paraId="0B57B4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0358-7555506</w:t>
            </w:r>
          </w:p>
        </w:tc>
        <w:tc>
          <w:tcPr>
            <w:tcW w:w="486" w:type="pct"/>
            <w:shd w:val="clear" w:color="auto" w:fill="auto"/>
            <w:noWrap w:val="0"/>
            <w:vAlign w:val="center"/>
          </w:tcPr>
          <w:p w14:paraId="2C9F7C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峪道河镇人民政府</w:t>
            </w:r>
            <w:r>
              <w:rPr>
                <w:rFonts w:hint="eastAsia" w:cs="Times New Roman"/>
                <w:sz w:val="24"/>
                <w:szCs w:val="24"/>
                <w:lang w:val="en-US" w:eastAsia="zh-CN"/>
              </w:rPr>
              <w:t>镇长</w:t>
            </w:r>
          </w:p>
        </w:tc>
        <w:tc>
          <w:tcPr>
            <w:tcW w:w="1206" w:type="pct"/>
            <w:vMerge w:val="continue"/>
            <w:noWrap w:val="0"/>
            <w:vAlign w:val="center"/>
          </w:tcPr>
          <w:p w14:paraId="67762C1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20CF21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79331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7BCE9E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6800AA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郝艳兵</w:t>
            </w:r>
          </w:p>
        </w:tc>
        <w:tc>
          <w:tcPr>
            <w:tcW w:w="600" w:type="pct"/>
            <w:shd w:val="clear" w:color="auto" w:fill="auto"/>
            <w:noWrap w:val="0"/>
            <w:vAlign w:val="center"/>
          </w:tcPr>
          <w:p w14:paraId="482908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0358-7500363</w:t>
            </w:r>
          </w:p>
        </w:tc>
        <w:tc>
          <w:tcPr>
            <w:tcW w:w="486" w:type="pct"/>
            <w:shd w:val="clear" w:color="auto" w:fill="auto"/>
            <w:noWrap w:val="0"/>
            <w:vAlign w:val="center"/>
          </w:tcPr>
          <w:p w14:paraId="0CD1B6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阳城</w:t>
            </w:r>
            <w:r>
              <w:rPr>
                <w:rFonts w:hint="eastAsia" w:ascii="Times New Roman" w:hAnsi="Times New Roman" w:cs="Times New Roman"/>
                <w:sz w:val="24"/>
                <w:szCs w:val="24"/>
                <w:lang w:val="en-US" w:eastAsia="zh-CN"/>
              </w:rPr>
              <w:t>镇</w:t>
            </w:r>
            <w:r>
              <w:rPr>
                <w:rFonts w:hint="default" w:ascii="Times New Roman" w:hAnsi="Times New Roman" w:eastAsia="仿宋" w:cs="Times New Roman"/>
                <w:sz w:val="24"/>
                <w:szCs w:val="24"/>
                <w:lang w:val="en-US" w:eastAsia="zh-CN"/>
              </w:rPr>
              <w:t>人民政府</w:t>
            </w:r>
            <w:r>
              <w:rPr>
                <w:rFonts w:hint="eastAsia" w:cs="Times New Roman"/>
                <w:sz w:val="24"/>
                <w:szCs w:val="24"/>
                <w:lang w:val="en-US" w:eastAsia="zh-CN"/>
              </w:rPr>
              <w:t>镇长</w:t>
            </w:r>
          </w:p>
        </w:tc>
        <w:tc>
          <w:tcPr>
            <w:tcW w:w="1206" w:type="pct"/>
            <w:vMerge w:val="continue"/>
            <w:noWrap w:val="0"/>
            <w:vAlign w:val="center"/>
          </w:tcPr>
          <w:p w14:paraId="2568FF5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76E1E5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6C890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3BA1DE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08B841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王欢</w:t>
            </w:r>
          </w:p>
        </w:tc>
        <w:tc>
          <w:tcPr>
            <w:tcW w:w="600" w:type="pct"/>
            <w:shd w:val="clear" w:color="auto" w:fill="auto"/>
            <w:noWrap w:val="0"/>
            <w:vAlign w:val="center"/>
          </w:tcPr>
          <w:p w14:paraId="2AF9DB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0358-7370569</w:t>
            </w:r>
          </w:p>
        </w:tc>
        <w:tc>
          <w:tcPr>
            <w:tcW w:w="486" w:type="pct"/>
            <w:shd w:val="clear" w:color="auto" w:fill="auto"/>
            <w:noWrap w:val="0"/>
            <w:vAlign w:val="center"/>
          </w:tcPr>
          <w:p w14:paraId="6E2A51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栗家庄</w:t>
            </w:r>
            <w:r>
              <w:rPr>
                <w:rFonts w:hint="eastAsia" w:cs="Times New Roman"/>
                <w:sz w:val="24"/>
                <w:szCs w:val="24"/>
                <w:lang w:val="en-US" w:eastAsia="zh-CN"/>
              </w:rPr>
              <w:t>镇</w:t>
            </w:r>
            <w:r>
              <w:rPr>
                <w:rFonts w:hint="default" w:ascii="Times New Roman" w:hAnsi="Times New Roman" w:eastAsia="仿宋" w:cs="Times New Roman"/>
                <w:sz w:val="24"/>
                <w:szCs w:val="24"/>
                <w:lang w:val="en-US" w:eastAsia="zh-CN"/>
              </w:rPr>
              <w:t>人民政府</w:t>
            </w:r>
            <w:r>
              <w:rPr>
                <w:rFonts w:hint="eastAsia" w:cs="Times New Roman"/>
                <w:sz w:val="24"/>
                <w:szCs w:val="24"/>
                <w:lang w:val="en-US" w:eastAsia="zh-CN"/>
              </w:rPr>
              <w:t>镇长</w:t>
            </w:r>
          </w:p>
        </w:tc>
        <w:tc>
          <w:tcPr>
            <w:tcW w:w="1206" w:type="pct"/>
            <w:vMerge w:val="continue"/>
            <w:noWrap w:val="0"/>
            <w:vAlign w:val="center"/>
          </w:tcPr>
          <w:p w14:paraId="7AA601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40C6473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3B27C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58666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7E2846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宋天虎</w:t>
            </w:r>
          </w:p>
        </w:tc>
        <w:tc>
          <w:tcPr>
            <w:tcW w:w="600" w:type="pct"/>
            <w:shd w:val="clear" w:color="auto" w:fill="auto"/>
            <w:noWrap w:val="0"/>
            <w:vAlign w:val="center"/>
          </w:tcPr>
          <w:p w14:paraId="6624A3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0358-7281638</w:t>
            </w:r>
          </w:p>
        </w:tc>
        <w:tc>
          <w:tcPr>
            <w:tcW w:w="486" w:type="pct"/>
            <w:shd w:val="clear" w:color="auto" w:fill="auto"/>
            <w:noWrap w:val="0"/>
            <w:vAlign w:val="center"/>
          </w:tcPr>
          <w:p w14:paraId="0A41BB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石庄镇人民政府</w:t>
            </w:r>
            <w:r>
              <w:rPr>
                <w:rFonts w:hint="eastAsia" w:cs="Times New Roman"/>
                <w:sz w:val="24"/>
                <w:szCs w:val="24"/>
                <w:lang w:val="en-US" w:eastAsia="zh-CN"/>
              </w:rPr>
              <w:t>镇长</w:t>
            </w:r>
          </w:p>
        </w:tc>
        <w:tc>
          <w:tcPr>
            <w:tcW w:w="1206" w:type="pct"/>
            <w:vMerge w:val="continue"/>
            <w:noWrap w:val="0"/>
            <w:vAlign w:val="center"/>
          </w:tcPr>
          <w:p w14:paraId="1503F77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053B8B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2F3B4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restart"/>
            <w:noWrap w:val="0"/>
            <w:vAlign w:val="center"/>
          </w:tcPr>
          <w:p w14:paraId="63E551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成员单位</w:t>
            </w:r>
          </w:p>
        </w:tc>
        <w:tc>
          <w:tcPr>
            <w:tcW w:w="527" w:type="pct"/>
            <w:shd w:val="clear" w:color="auto" w:fill="auto"/>
            <w:noWrap w:val="0"/>
            <w:vAlign w:val="center"/>
          </w:tcPr>
          <w:p w14:paraId="50B429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汾阳市应急管理局</w:t>
            </w:r>
          </w:p>
        </w:tc>
        <w:tc>
          <w:tcPr>
            <w:tcW w:w="348" w:type="pct"/>
            <w:shd w:val="clear" w:color="auto" w:fill="auto"/>
            <w:noWrap w:val="0"/>
            <w:vAlign w:val="center"/>
          </w:tcPr>
          <w:p w14:paraId="26C240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田健</w:t>
            </w:r>
          </w:p>
        </w:tc>
        <w:tc>
          <w:tcPr>
            <w:tcW w:w="600" w:type="pct"/>
            <w:shd w:val="clear" w:color="auto" w:fill="auto"/>
            <w:noWrap w:val="0"/>
            <w:vAlign w:val="center"/>
          </w:tcPr>
          <w:p w14:paraId="0F643F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0358-7301126</w:t>
            </w:r>
          </w:p>
        </w:tc>
        <w:tc>
          <w:tcPr>
            <w:tcW w:w="486" w:type="pct"/>
            <w:shd w:val="clear" w:color="auto" w:fill="auto"/>
            <w:noWrap w:val="0"/>
            <w:vAlign w:val="center"/>
          </w:tcPr>
          <w:p w14:paraId="451349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5B8A74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负责安全生产监管，防范企业生产安全事故次生水源地突发环境事件，及时上报并通报事故信息。</w:t>
            </w:r>
          </w:p>
        </w:tc>
        <w:tc>
          <w:tcPr>
            <w:tcW w:w="1605" w:type="pct"/>
            <w:noWrap w:val="0"/>
            <w:vAlign w:val="center"/>
          </w:tcPr>
          <w:p w14:paraId="221331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处置因自然灾害、企业安全生产事故、违法排污等导致的水源地突发环境事件。负责有关应急物资的日常维护和使用管理</w:t>
            </w:r>
          </w:p>
        </w:tc>
      </w:tr>
      <w:tr w14:paraId="120E3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2E177D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394DDF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吕梁市生态环境局汾阳分局</w:t>
            </w:r>
          </w:p>
        </w:tc>
        <w:tc>
          <w:tcPr>
            <w:tcW w:w="348" w:type="pct"/>
            <w:shd w:val="clear" w:color="auto" w:fill="auto"/>
            <w:noWrap w:val="0"/>
            <w:vAlign w:val="center"/>
          </w:tcPr>
          <w:p w14:paraId="32A6AD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李江鹏</w:t>
            </w:r>
          </w:p>
        </w:tc>
        <w:tc>
          <w:tcPr>
            <w:tcW w:w="600" w:type="pct"/>
            <w:shd w:val="clear" w:color="auto" w:fill="auto"/>
            <w:noWrap w:val="0"/>
            <w:vAlign w:val="center"/>
          </w:tcPr>
          <w:p w14:paraId="57B524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rPr>
              <w:t>0358-</w:t>
            </w:r>
            <w:r>
              <w:rPr>
                <w:rFonts w:hint="default" w:ascii="Times New Roman" w:hAnsi="Times New Roman" w:eastAsia="仿宋" w:cs="Times New Roman"/>
                <w:sz w:val="24"/>
                <w:szCs w:val="24"/>
                <w:highlight w:val="none"/>
                <w:lang w:val="en-US" w:eastAsia="zh-CN"/>
              </w:rPr>
              <w:t>7223300</w:t>
            </w:r>
          </w:p>
        </w:tc>
        <w:tc>
          <w:tcPr>
            <w:tcW w:w="486" w:type="pct"/>
            <w:shd w:val="clear" w:color="auto" w:fill="auto"/>
            <w:noWrap w:val="0"/>
            <w:vAlign w:val="center"/>
          </w:tcPr>
          <w:p w14:paraId="3636F9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77B8B9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组织编制、修订水源地应急预案；</w:t>
            </w:r>
            <w:r>
              <w:rPr>
                <w:rFonts w:hint="default" w:ascii="Times New Roman" w:hAnsi="Times New Roman" w:eastAsia="仿宋" w:cs="Times New Roman"/>
                <w:sz w:val="24"/>
                <w:szCs w:val="24"/>
                <w:highlight w:val="none"/>
              </w:rPr>
              <w:t>水源地例行监测、及时上报并通报水源地水质异常信息，开展水源地污染防治的日常监督和管理</w:t>
            </w:r>
          </w:p>
        </w:tc>
        <w:tc>
          <w:tcPr>
            <w:tcW w:w="1605" w:type="pct"/>
            <w:noWrap w:val="0"/>
            <w:vAlign w:val="center"/>
          </w:tcPr>
          <w:p w14:paraId="4AFE69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负责应急监测及事件排除后的跟踪监测，提出消除污染物的处置建议，督促、指导</w:t>
            </w:r>
            <w:r>
              <w:rPr>
                <w:rFonts w:hint="eastAsia" w:cs="Times New Roman"/>
                <w:sz w:val="24"/>
                <w:szCs w:val="24"/>
                <w:highlight w:val="none"/>
                <w:lang w:eastAsia="zh-CN"/>
              </w:rPr>
              <w:t>相关部门</w:t>
            </w:r>
            <w:r>
              <w:rPr>
                <w:rFonts w:hint="default" w:ascii="Times New Roman" w:hAnsi="Times New Roman" w:eastAsia="仿宋" w:cs="Times New Roman"/>
                <w:sz w:val="24"/>
                <w:szCs w:val="24"/>
                <w:highlight w:val="none"/>
              </w:rPr>
              <w:t>和单位开展水源地污染物削减处置等工作</w:t>
            </w:r>
          </w:p>
        </w:tc>
      </w:tr>
      <w:tr w14:paraId="4C184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57B89D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2560A7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eastAsia" w:cs="Times New Roman"/>
                <w:sz w:val="24"/>
                <w:szCs w:val="24"/>
                <w:highlight w:val="none"/>
                <w:lang w:val="en-US" w:eastAsia="zh-CN"/>
              </w:rPr>
              <w:t>汾阳市自然资源局</w:t>
            </w:r>
          </w:p>
        </w:tc>
        <w:tc>
          <w:tcPr>
            <w:tcW w:w="348" w:type="pct"/>
            <w:noWrap w:val="0"/>
            <w:vAlign w:val="center"/>
          </w:tcPr>
          <w:p w14:paraId="415D74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张云飚</w:t>
            </w:r>
          </w:p>
        </w:tc>
        <w:tc>
          <w:tcPr>
            <w:tcW w:w="600" w:type="pct"/>
            <w:noWrap w:val="0"/>
            <w:vAlign w:val="center"/>
          </w:tcPr>
          <w:p w14:paraId="46680C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0358-7223440</w:t>
            </w:r>
          </w:p>
        </w:tc>
        <w:tc>
          <w:tcPr>
            <w:tcW w:w="486" w:type="pct"/>
            <w:noWrap w:val="0"/>
            <w:vAlign w:val="center"/>
          </w:tcPr>
          <w:p w14:paraId="3F2845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4D03F3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规划适用于水源地突发环境事件应急处置的场地，保障水源地突发环境事件应急处置的场地</w:t>
            </w:r>
          </w:p>
        </w:tc>
        <w:tc>
          <w:tcPr>
            <w:tcW w:w="1605" w:type="pct"/>
            <w:noWrap w:val="0"/>
            <w:vAlign w:val="center"/>
          </w:tcPr>
          <w:p w14:paraId="2C21CC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负责指导由突发环境事件造成国土空间生态破坏的应急处置、调查处理和生态修复</w:t>
            </w:r>
          </w:p>
        </w:tc>
      </w:tr>
      <w:tr w14:paraId="28E81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5E91A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45851E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汾阳市工科局</w:t>
            </w:r>
          </w:p>
        </w:tc>
        <w:tc>
          <w:tcPr>
            <w:tcW w:w="348" w:type="pct"/>
            <w:noWrap w:val="0"/>
            <w:vAlign w:val="center"/>
          </w:tcPr>
          <w:p w14:paraId="32CC71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路进春</w:t>
            </w:r>
          </w:p>
        </w:tc>
        <w:tc>
          <w:tcPr>
            <w:tcW w:w="600" w:type="pct"/>
            <w:noWrap w:val="0"/>
            <w:vAlign w:val="center"/>
          </w:tcPr>
          <w:p w14:paraId="3F3F31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0358-7336046</w:t>
            </w:r>
          </w:p>
        </w:tc>
        <w:tc>
          <w:tcPr>
            <w:tcW w:w="486" w:type="pct"/>
            <w:noWrap w:val="0"/>
            <w:vAlign w:val="center"/>
          </w:tcPr>
          <w:p w14:paraId="132DA8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7A9D01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负责应急状态下紧缺物资生产组织工作</w:t>
            </w:r>
          </w:p>
        </w:tc>
        <w:tc>
          <w:tcPr>
            <w:tcW w:w="1605" w:type="pct"/>
            <w:noWrap w:val="0"/>
            <w:vAlign w:val="center"/>
          </w:tcPr>
          <w:p w14:paraId="5C839D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做好通信保障应急工作，确保应急处置现场的通信网络畅通</w:t>
            </w:r>
          </w:p>
        </w:tc>
      </w:tr>
      <w:tr w14:paraId="78D24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B2CCE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252A7E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汾阳市交通运输局</w:t>
            </w:r>
          </w:p>
        </w:tc>
        <w:tc>
          <w:tcPr>
            <w:tcW w:w="348" w:type="pct"/>
            <w:noWrap w:val="0"/>
            <w:vAlign w:val="center"/>
          </w:tcPr>
          <w:p w14:paraId="12E0AF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何雄</w:t>
            </w:r>
          </w:p>
        </w:tc>
        <w:tc>
          <w:tcPr>
            <w:tcW w:w="600" w:type="pct"/>
            <w:noWrap w:val="0"/>
            <w:vAlign w:val="center"/>
          </w:tcPr>
          <w:p w14:paraId="2A826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0358-7222228</w:t>
            </w:r>
          </w:p>
        </w:tc>
        <w:tc>
          <w:tcPr>
            <w:tcW w:w="486" w:type="pct"/>
            <w:noWrap w:val="0"/>
            <w:vAlign w:val="center"/>
          </w:tcPr>
          <w:p w14:paraId="43C18A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1FAC55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负责危险化学品运输车辆跨越水源保护区道路桥梁的日常应急管理工作，建设维护道路桥梁应急工程设施</w:t>
            </w:r>
          </w:p>
        </w:tc>
        <w:tc>
          <w:tcPr>
            <w:tcW w:w="1605" w:type="pct"/>
            <w:noWrap w:val="0"/>
            <w:vAlign w:val="center"/>
          </w:tcPr>
          <w:p w14:paraId="7CCCDF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指导</w:t>
            </w:r>
            <w:r>
              <w:rPr>
                <w:rFonts w:hint="eastAsia" w:ascii="Times New Roman" w:hAnsi="Times New Roman" w:cs="Times New Roman"/>
                <w:sz w:val="24"/>
                <w:szCs w:val="24"/>
                <w:highlight w:val="none"/>
                <w:lang w:val="en-US" w:eastAsia="zh-CN"/>
              </w:rPr>
              <w:t>市</w:t>
            </w:r>
            <w:r>
              <w:rPr>
                <w:rFonts w:hint="default" w:ascii="Times New Roman" w:hAnsi="Times New Roman" w:eastAsia="仿宋" w:cs="Times New Roman"/>
                <w:sz w:val="24"/>
                <w:szCs w:val="24"/>
                <w:highlight w:val="none"/>
              </w:rPr>
              <w:t>自来水公司的应急救援工作，组织</w:t>
            </w:r>
            <w:r>
              <w:rPr>
                <w:rFonts w:hint="eastAsia" w:ascii="Times New Roman" w:hAnsi="Times New Roman" w:cs="Times New Roman"/>
                <w:sz w:val="24"/>
                <w:szCs w:val="24"/>
                <w:highlight w:val="none"/>
                <w:lang w:val="en-US" w:eastAsia="zh-CN"/>
              </w:rPr>
              <w:t>市</w:t>
            </w:r>
            <w:r>
              <w:rPr>
                <w:rFonts w:hint="default" w:ascii="Times New Roman" w:hAnsi="Times New Roman" w:eastAsia="仿宋" w:cs="Times New Roman"/>
                <w:sz w:val="24"/>
                <w:szCs w:val="24"/>
                <w:highlight w:val="none"/>
              </w:rPr>
              <w:t>自来水公司进行应急监测，向事故水源地应急供水等应急工作。协助处置交通事故次生的水源地突发环境事件，事故发生后及时启用道路桥梁应急工程设施，并负责保障应急物资运输车辆快速通行</w:t>
            </w:r>
          </w:p>
        </w:tc>
      </w:tr>
      <w:tr w14:paraId="21462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AAB85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6A742B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汾阳市农业农村局</w:t>
            </w:r>
          </w:p>
        </w:tc>
        <w:tc>
          <w:tcPr>
            <w:tcW w:w="348" w:type="pct"/>
            <w:noWrap w:val="0"/>
            <w:vAlign w:val="center"/>
          </w:tcPr>
          <w:p w14:paraId="29D04B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任正业</w:t>
            </w:r>
          </w:p>
        </w:tc>
        <w:tc>
          <w:tcPr>
            <w:tcW w:w="600" w:type="pct"/>
            <w:noWrap w:val="0"/>
            <w:vAlign w:val="center"/>
          </w:tcPr>
          <w:p w14:paraId="7B591A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0358-7223</w:t>
            </w:r>
            <w:r>
              <w:rPr>
                <w:rFonts w:hint="eastAsia" w:cs="Times New Roman"/>
                <w:sz w:val="24"/>
                <w:szCs w:val="24"/>
                <w:highlight w:val="none"/>
                <w:lang w:val="en-US" w:eastAsia="zh-CN"/>
              </w:rPr>
              <w:t>304</w:t>
            </w:r>
          </w:p>
        </w:tc>
        <w:tc>
          <w:tcPr>
            <w:tcW w:w="486" w:type="pct"/>
            <w:noWrap w:val="0"/>
            <w:vAlign w:val="center"/>
          </w:tcPr>
          <w:p w14:paraId="364337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0AE2FC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highlight w:val="none"/>
              </w:rPr>
              <w:t>管理暴雨期间入河农灌退水排放行为，防范农业面源导致的水源地突发环境事件</w:t>
            </w:r>
            <w:r>
              <w:rPr>
                <w:rFonts w:hint="default" w:ascii="Times New Roman" w:hAnsi="Times New Roman" w:eastAsia="仿宋" w:cs="Times New Roman"/>
                <w:sz w:val="24"/>
                <w:szCs w:val="24"/>
                <w:highlight w:val="none"/>
                <w:lang w:eastAsia="zh-CN"/>
              </w:rPr>
              <w:t>；负责指导水源地水利设施建设和管理；</w:t>
            </w:r>
          </w:p>
        </w:tc>
        <w:tc>
          <w:tcPr>
            <w:tcW w:w="1605" w:type="pct"/>
            <w:noWrap w:val="0"/>
            <w:vAlign w:val="center"/>
          </w:tcPr>
          <w:p w14:paraId="41FE14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highlight w:val="none"/>
              </w:rPr>
              <w:t>协助处置因农业面源、渔业养殖导致的水源地突发环境事件。对具有农灌功能的水源地，在应急期间暂停农灌取水</w:t>
            </w:r>
            <w:r>
              <w:rPr>
                <w:rFonts w:hint="default" w:ascii="Times New Roman" w:hAnsi="Times New Roman" w:eastAsia="仿宋" w:cs="Times New Roman"/>
                <w:sz w:val="24"/>
                <w:szCs w:val="24"/>
                <w:highlight w:val="none"/>
                <w:lang w:eastAsia="zh-CN"/>
              </w:rPr>
              <w:t>；按照应急指挥部要求，利用水利工程进行污染团拦截、降污或调水稀释等工作；负责协调提供与水源地突发环境事件相关的水文监测资料；配合</w:t>
            </w:r>
            <w:r>
              <w:rPr>
                <w:rFonts w:hint="eastAsia" w:cs="Times New Roman"/>
                <w:sz w:val="24"/>
                <w:szCs w:val="24"/>
                <w:highlight w:val="none"/>
                <w:lang w:eastAsia="zh-CN"/>
              </w:rPr>
              <w:t>相关部门</w:t>
            </w:r>
            <w:r>
              <w:rPr>
                <w:rFonts w:hint="default" w:ascii="Times New Roman" w:hAnsi="Times New Roman" w:eastAsia="仿宋" w:cs="Times New Roman"/>
                <w:sz w:val="24"/>
                <w:szCs w:val="24"/>
                <w:highlight w:val="none"/>
                <w:lang w:eastAsia="zh-CN"/>
              </w:rPr>
              <w:t>开展对水源水质及其受污染原因的调查和监测；参与分析总结饮用水水源地突发环境事件应急处置工作</w:t>
            </w:r>
          </w:p>
        </w:tc>
      </w:tr>
      <w:tr w14:paraId="6A2E1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069584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560FFF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汾阳市公安局</w:t>
            </w:r>
          </w:p>
        </w:tc>
        <w:tc>
          <w:tcPr>
            <w:tcW w:w="348" w:type="pct"/>
            <w:noWrap w:val="0"/>
            <w:vAlign w:val="center"/>
          </w:tcPr>
          <w:p w14:paraId="591AD3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李建军</w:t>
            </w:r>
          </w:p>
        </w:tc>
        <w:tc>
          <w:tcPr>
            <w:tcW w:w="600" w:type="pct"/>
            <w:noWrap w:val="0"/>
            <w:vAlign w:val="center"/>
          </w:tcPr>
          <w:p w14:paraId="5BB8E9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0358-7336784</w:t>
            </w:r>
          </w:p>
        </w:tc>
        <w:tc>
          <w:tcPr>
            <w:tcW w:w="486" w:type="pct"/>
            <w:noWrap w:val="0"/>
            <w:vAlign w:val="center"/>
          </w:tcPr>
          <w:p w14:paraId="6994C4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672D70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查处导致水源地突发环境事件的违法犯罪行为</w:t>
            </w:r>
          </w:p>
        </w:tc>
        <w:tc>
          <w:tcPr>
            <w:tcW w:w="1605" w:type="pct"/>
            <w:noWrap w:val="0"/>
            <w:vAlign w:val="center"/>
          </w:tcPr>
          <w:p w14:paraId="4738E9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负责组织地下水型水源地突发环境事件应急救援治安维护，交通管制，危险区域实施治安警戒，疏散群众，维护社会稳定</w:t>
            </w:r>
          </w:p>
        </w:tc>
      </w:tr>
      <w:tr w14:paraId="559E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2D44D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5418DB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汾阳市财政局</w:t>
            </w:r>
          </w:p>
        </w:tc>
        <w:tc>
          <w:tcPr>
            <w:tcW w:w="348" w:type="pct"/>
            <w:noWrap w:val="0"/>
            <w:vAlign w:val="center"/>
          </w:tcPr>
          <w:p w14:paraId="745ADB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张宁</w:t>
            </w:r>
          </w:p>
        </w:tc>
        <w:tc>
          <w:tcPr>
            <w:tcW w:w="600" w:type="pct"/>
            <w:noWrap w:val="0"/>
            <w:vAlign w:val="center"/>
          </w:tcPr>
          <w:p w14:paraId="65CAA3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0358-7333348</w:t>
            </w:r>
          </w:p>
        </w:tc>
        <w:tc>
          <w:tcPr>
            <w:tcW w:w="486" w:type="pct"/>
            <w:noWrap w:val="0"/>
            <w:vAlign w:val="center"/>
          </w:tcPr>
          <w:p w14:paraId="58B680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088526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负责保障水源地突发环境事件应急管理工作和应急处置期间的费用</w:t>
            </w:r>
          </w:p>
        </w:tc>
        <w:tc>
          <w:tcPr>
            <w:tcW w:w="1605" w:type="pct"/>
            <w:noWrap w:val="0"/>
            <w:vAlign w:val="center"/>
          </w:tcPr>
          <w:p w14:paraId="62B67C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负责保障水源地突发环境事件应急管理工作和应急处置期间的费用</w:t>
            </w:r>
          </w:p>
        </w:tc>
      </w:tr>
      <w:tr w14:paraId="0022A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FAB00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6F90BE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汾阳市人力资源社会保障局</w:t>
            </w:r>
          </w:p>
        </w:tc>
        <w:tc>
          <w:tcPr>
            <w:tcW w:w="348" w:type="pct"/>
            <w:noWrap w:val="0"/>
            <w:vAlign w:val="center"/>
          </w:tcPr>
          <w:p w14:paraId="5BB3D0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王镇东</w:t>
            </w:r>
          </w:p>
        </w:tc>
        <w:tc>
          <w:tcPr>
            <w:tcW w:w="600" w:type="pct"/>
            <w:noWrap w:val="0"/>
            <w:vAlign w:val="center"/>
          </w:tcPr>
          <w:p w14:paraId="3C41DC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0358-7333324</w:t>
            </w:r>
          </w:p>
        </w:tc>
        <w:tc>
          <w:tcPr>
            <w:tcW w:w="486" w:type="pct"/>
            <w:noWrap w:val="0"/>
            <w:vAlign w:val="center"/>
          </w:tcPr>
          <w:p w14:paraId="360CC1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vMerge w:val="restart"/>
            <w:noWrap w:val="0"/>
            <w:vAlign w:val="center"/>
          </w:tcPr>
          <w:p w14:paraId="06DFCA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w:t>
            </w:r>
            <w:r>
              <w:rPr>
                <w:rFonts w:hint="eastAsia" w:cs="Times New Roman"/>
                <w:sz w:val="24"/>
                <w:szCs w:val="24"/>
                <w:highlight w:val="none"/>
                <w:lang w:val="en-US" w:eastAsia="zh-CN"/>
              </w:rPr>
              <w:t>日常应急物资的储备</w:t>
            </w:r>
          </w:p>
        </w:tc>
        <w:tc>
          <w:tcPr>
            <w:tcW w:w="1605" w:type="pct"/>
            <w:vMerge w:val="restart"/>
            <w:noWrap w:val="0"/>
            <w:vAlign w:val="center"/>
          </w:tcPr>
          <w:p w14:paraId="4A5C71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负责应急物资发放</w:t>
            </w:r>
          </w:p>
        </w:tc>
      </w:tr>
      <w:tr w14:paraId="4427E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07EB8A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460B17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eastAsia" w:cs="Times New Roman"/>
                <w:sz w:val="24"/>
                <w:szCs w:val="24"/>
                <w:highlight w:val="none"/>
                <w:lang w:val="en-US" w:eastAsia="zh-CN"/>
              </w:rPr>
              <w:t>汾阳市民政局</w:t>
            </w:r>
          </w:p>
        </w:tc>
        <w:tc>
          <w:tcPr>
            <w:tcW w:w="348" w:type="pct"/>
            <w:noWrap w:val="0"/>
            <w:vAlign w:val="center"/>
          </w:tcPr>
          <w:p w14:paraId="6A3B8E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董瑞杰</w:t>
            </w:r>
          </w:p>
        </w:tc>
        <w:tc>
          <w:tcPr>
            <w:tcW w:w="600" w:type="pct"/>
            <w:noWrap w:val="0"/>
            <w:vAlign w:val="center"/>
          </w:tcPr>
          <w:p w14:paraId="6AC636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eastAsia" w:cs="Times New Roman"/>
                <w:sz w:val="24"/>
                <w:szCs w:val="24"/>
                <w:highlight w:val="none"/>
                <w:lang w:val="en-US" w:eastAsia="zh-CN"/>
              </w:rPr>
              <w:t>0358-7223371</w:t>
            </w:r>
          </w:p>
        </w:tc>
        <w:tc>
          <w:tcPr>
            <w:tcW w:w="486" w:type="pct"/>
            <w:noWrap w:val="0"/>
            <w:vAlign w:val="center"/>
          </w:tcPr>
          <w:p w14:paraId="32E893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局长</w:t>
            </w:r>
          </w:p>
        </w:tc>
        <w:tc>
          <w:tcPr>
            <w:tcW w:w="1206" w:type="pct"/>
            <w:vMerge w:val="continue"/>
            <w:noWrap w:val="0"/>
            <w:vAlign w:val="center"/>
          </w:tcPr>
          <w:p w14:paraId="07A216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25D2B1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r>
      <w:tr w14:paraId="64148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1538A6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7C3FE3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汾阳市教育体育局</w:t>
            </w:r>
          </w:p>
        </w:tc>
        <w:tc>
          <w:tcPr>
            <w:tcW w:w="348" w:type="pct"/>
            <w:noWrap w:val="0"/>
            <w:vAlign w:val="center"/>
          </w:tcPr>
          <w:p w14:paraId="1BC9FC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武素文</w:t>
            </w:r>
          </w:p>
        </w:tc>
        <w:tc>
          <w:tcPr>
            <w:tcW w:w="600" w:type="pct"/>
            <w:noWrap w:val="0"/>
            <w:vAlign w:val="center"/>
          </w:tcPr>
          <w:p w14:paraId="04F804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0358-223288</w:t>
            </w:r>
          </w:p>
        </w:tc>
        <w:tc>
          <w:tcPr>
            <w:tcW w:w="486" w:type="pct"/>
            <w:noWrap w:val="0"/>
            <w:vAlign w:val="center"/>
          </w:tcPr>
          <w:p w14:paraId="70011E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2B76A2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负责全</w:t>
            </w:r>
            <w:r>
              <w:rPr>
                <w:rFonts w:hint="eastAsia" w:ascii="Times New Roman" w:hAnsi="Times New Roman" w:cs="Times New Roman"/>
                <w:sz w:val="24"/>
                <w:szCs w:val="24"/>
                <w:highlight w:val="none"/>
                <w:lang w:val="en-US" w:eastAsia="zh-CN"/>
              </w:rPr>
              <w:t>市</w:t>
            </w:r>
            <w:r>
              <w:rPr>
                <w:rFonts w:hint="default" w:ascii="Times New Roman" w:hAnsi="Times New Roman" w:eastAsia="仿宋" w:cs="Times New Roman"/>
                <w:sz w:val="24"/>
                <w:szCs w:val="24"/>
                <w:highlight w:val="none"/>
              </w:rPr>
              <w:t>各类学校的突发环境事件应急避险、救援等宣传教育工作</w:t>
            </w:r>
          </w:p>
        </w:tc>
        <w:tc>
          <w:tcPr>
            <w:tcW w:w="1605" w:type="pct"/>
            <w:noWrap w:val="0"/>
            <w:vAlign w:val="center"/>
          </w:tcPr>
          <w:p w14:paraId="08AE89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在突发事件涉及学校的情形下，指导学校制定安全饮水方案并组织实施，做好学生的临时安置和教学工作</w:t>
            </w:r>
          </w:p>
        </w:tc>
      </w:tr>
      <w:tr w14:paraId="50343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09021E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1066F8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汾阳市卫生健康局</w:t>
            </w:r>
          </w:p>
        </w:tc>
        <w:tc>
          <w:tcPr>
            <w:tcW w:w="348" w:type="pct"/>
            <w:noWrap w:val="0"/>
            <w:vAlign w:val="center"/>
          </w:tcPr>
          <w:p w14:paraId="05A52A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任淑宏</w:t>
            </w:r>
          </w:p>
        </w:tc>
        <w:tc>
          <w:tcPr>
            <w:tcW w:w="600" w:type="pct"/>
            <w:noWrap w:val="0"/>
            <w:vAlign w:val="center"/>
          </w:tcPr>
          <w:p w14:paraId="6E12F3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lang w:val="en-US" w:eastAsia="zh-CN"/>
              </w:rPr>
              <w:t>0358-7282368</w:t>
            </w:r>
          </w:p>
        </w:tc>
        <w:tc>
          <w:tcPr>
            <w:tcW w:w="486" w:type="pct"/>
            <w:noWrap w:val="0"/>
            <w:vAlign w:val="center"/>
          </w:tcPr>
          <w:p w14:paraId="694392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ascii="Times New Roman" w:hAnsi="Times New Roman" w:cs="Times New Roman"/>
                <w:sz w:val="24"/>
                <w:szCs w:val="24"/>
                <w:lang w:val="en-US" w:eastAsia="zh-CN"/>
              </w:rPr>
              <w:t>局长</w:t>
            </w:r>
          </w:p>
        </w:tc>
        <w:tc>
          <w:tcPr>
            <w:tcW w:w="1206" w:type="pct"/>
            <w:vMerge w:val="restart"/>
            <w:noWrap w:val="0"/>
            <w:vAlign w:val="center"/>
          </w:tcPr>
          <w:p w14:paraId="49AA37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负责自来水管网末梢水水质卫生日常管理，及时上报并通报管网末梢水水质异常信息</w:t>
            </w:r>
          </w:p>
        </w:tc>
        <w:tc>
          <w:tcPr>
            <w:tcW w:w="1605" w:type="pct"/>
            <w:vMerge w:val="restart"/>
            <w:noWrap w:val="0"/>
            <w:vAlign w:val="center"/>
          </w:tcPr>
          <w:p w14:paraId="2D3F72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负责管网末梢水水质应急监测，确保应急期间居民饮水卫生安全。组织、协调、指导开展突发环境事件应急医疗卫生救援、疾病预防控制工作</w:t>
            </w:r>
          </w:p>
        </w:tc>
      </w:tr>
      <w:tr w14:paraId="488FE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10C62D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77DE60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汾阳市疾病预防控制中心</w:t>
            </w:r>
          </w:p>
        </w:tc>
        <w:tc>
          <w:tcPr>
            <w:tcW w:w="348" w:type="pct"/>
            <w:noWrap w:val="0"/>
            <w:vAlign w:val="center"/>
          </w:tcPr>
          <w:p w14:paraId="52AC70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梁庆胜</w:t>
            </w:r>
          </w:p>
        </w:tc>
        <w:tc>
          <w:tcPr>
            <w:tcW w:w="600" w:type="pct"/>
            <w:noWrap w:val="0"/>
            <w:vAlign w:val="center"/>
          </w:tcPr>
          <w:p w14:paraId="5B7866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0358-7332360</w:t>
            </w:r>
          </w:p>
        </w:tc>
        <w:tc>
          <w:tcPr>
            <w:tcW w:w="486" w:type="pct"/>
            <w:noWrap w:val="0"/>
            <w:vAlign w:val="center"/>
          </w:tcPr>
          <w:p w14:paraId="55A0F1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主任</w:t>
            </w:r>
          </w:p>
        </w:tc>
        <w:tc>
          <w:tcPr>
            <w:tcW w:w="1206" w:type="pct"/>
            <w:vMerge w:val="continue"/>
            <w:noWrap w:val="0"/>
            <w:vAlign w:val="center"/>
          </w:tcPr>
          <w:p w14:paraId="0FE369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446ED5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r>
      <w:tr w14:paraId="04C66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79471C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529B38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汾阳市自来水公司</w:t>
            </w:r>
          </w:p>
        </w:tc>
        <w:tc>
          <w:tcPr>
            <w:tcW w:w="348" w:type="pct"/>
            <w:noWrap w:val="0"/>
            <w:vAlign w:val="center"/>
          </w:tcPr>
          <w:p w14:paraId="56C054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岳晓明</w:t>
            </w:r>
          </w:p>
        </w:tc>
        <w:tc>
          <w:tcPr>
            <w:tcW w:w="600" w:type="pct"/>
            <w:noWrap w:val="0"/>
            <w:vAlign w:val="center"/>
          </w:tcPr>
          <w:p w14:paraId="7948E8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0358-7222814</w:t>
            </w:r>
          </w:p>
        </w:tc>
        <w:tc>
          <w:tcPr>
            <w:tcW w:w="486" w:type="pct"/>
            <w:noWrap w:val="0"/>
            <w:vAlign w:val="center"/>
          </w:tcPr>
          <w:p w14:paraId="29E49E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经理</w:t>
            </w:r>
          </w:p>
        </w:tc>
        <w:tc>
          <w:tcPr>
            <w:tcW w:w="1206" w:type="pct"/>
            <w:noWrap w:val="0"/>
            <w:vAlign w:val="center"/>
          </w:tcPr>
          <w:p w14:paraId="78F9DC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负责制定应急供水保障方案，指导供水单位启动深度处理设施或备用应急供水车等措施，保障居民用水</w:t>
            </w:r>
          </w:p>
        </w:tc>
        <w:tc>
          <w:tcPr>
            <w:tcW w:w="1605" w:type="pct"/>
            <w:noWrap w:val="0"/>
            <w:vAlign w:val="center"/>
          </w:tcPr>
          <w:p w14:paraId="56221A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负责制定应急供水保障方案，指导供水单位启动深度处理设施或备用应急供水车等措施，保障居民用水</w:t>
            </w:r>
          </w:p>
        </w:tc>
      </w:tr>
      <w:tr w14:paraId="2A9A1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405863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6605B2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汾阳市消防救援大队</w:t>
            </w:r>
          </w:p>
        </w:tc>
        <w:tc>
          <w:tcPr>
            <w:tcW w:w="348" w:type="pct"/>
            <w:noWrap w:val="0"/>
            <w:vAlign w:val="center"/>
          </w:tcPr>
          <w:p w14:paraId="4E2238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王云林</w:t>
            </w:r>
          </w:p>
        </w:tc>
        <w:tc>
          <w:tcPr>
            <w:tcW w:w="600" w:type="pct"/>
            <w:noWrap w:val="0"/>
            <w:vAlign w:val="center"/>
          </w:tcPr>
          <w:p w14:paraId="27BF2E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0358-7541580</w:t>
            </w:r>
          </w:p>
        </w:tc>
        <w:tc>
          <w:tcPr>
            <w:tcW w:w="486" w:type="pct"/>
            <w:noWrap w:val="0"/>
            <w:vAlign w:val="center"/>
          </w:tcPr>
          <w:p w14:paraId="7A8C0F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队长</w:t>
            </w:r>
          </w:p>
        </w:tc>
        <w:tc>
          <w:tcPr>
            <w:tcW w:w="1206" w:type="pct"/>
            <w:noWrap w:val="0"/>
            <w:vAlign w:val="center"/>
          </w:tcPr>
          <w:p w14:paraId="683F29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在处置火灾爆炸事故时，防止消防水进入水源地及其连接水体；配合公安机关维护当地社会秩序，保障人民生命财产</w:t>
            </w:r>
          </w:p>
        </w:tc>
        <w:tc>
          <w:tcPr>
            <w:tcW w:w="1605" w:type="pct"/>
            <w:noWrap w:val="0"/>
            <w:vAlign w:val="center"/>
          </w:tcPr>
          <w:p w14:paraId="4F63EB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负责在应急专家组的指导下处理污染源，参加现场抢险、排险、救援处置工作</w:t>
            </w:r>
          </w:p>
        </w:tc>
      </w:tr>
      <w:tr w14:paraId="748A5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FAA4A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7F014B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汾阳市电力公司</w:t>
            </w:r>
          </w:p>
        </w:tc>
        <w:tc>
          <w:tcPr>
            <w:tcW w:w="348" w:type="pct"/>
            <w:noWrap w:val="0"/>
            <w:vAlign w:val="center"/>
          </w:tcPr>
          <w:p w14:paraId="7ED3D9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竹瑞博</w:t>
            </w:r>
          </w:p>
        </w:tc>
        <w:tc>
          <w:tcPr>
            <w:tcW w:w="600" w:type="pct"/>
            <w:noWrap w:val="0"/>
            <w:vAlign w:val="center"/>
          </w:tcPr>
          <w:p w14:paraId="42DC19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lang w:val="en-US" w:eastAsia="zh-CN"/>
              </w:rPr>
              <w:t>0358-7234234</w:t>
            </w:r>
          </w:p>
        </w:tc>
        <w:tc>
          <w:tcPr>
            <w:tcW w:w="486" w:type="pct"/>
            <w:noWrap w:val="0"/>
            <w:vAlign w:val="center"/>
          </w:tcPr>
          <w:p w14:paraId="04D5F6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经理</w:t>
            </w:r>
          </w:p>
        </w:tc>
        <w:tc>
          <w:tcPr>
            <w:tcW w:w="1206" w:type="pct"/>
            <w:noWrap w:val="0"/>
            <w:vAlign w:val="center"/>
          </w:tcPr>
          <w:p w14:paraId="5FFAF6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保障应急指挥救援正常供电</w:t>
            </w:r>
          </w:p>
        </w:tc>
        <w:tc>
          <w:tcPr>
            <w:tcW w:w="1605" w:type="pct"/>
            <w:noWrap w:val="0"/>
            <w:vAlign w:val="center"/>
          </w:tcPr>
          <w:p w14:paraId="6A931F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保障应急指挥救援正常供电</w:t>
            </w:r>
          </w:p>
        </w:tc>
      </w:tr>
      <w:tr w14:paraId="07742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7EF12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47E734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汾阳市气象局</w:t>
            </w:r>
          </w:p>
        </w:tc>
        <w:tc>
          <w:tcPr>
            <w:tcW w:w="348" w:type="pct"/>
            <w:noWrap w:val="0"/>
            <w:vAlign w:val="center"/>
          </w:tcPr>
          <w:p w14:paraId="3969FE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王健雄</w:t>
            </w:r>
          </w:p>
        </w:tc>
        <w:tc>
          <w:tcPr>
            <w:tcW w:w="600" w:type="pct"/>
            <w:noWrap w:val="0"/>
            <w:vAlign w:val="center"/>
          </w:tcPr>
          <w:p w14:paraId="29C5C8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lang w:val="en-US" w:eastAsia="zh-CN"/>
              </w:rPr>
              <w:t>0358-7391360</w:t>
            </w:r>
          </w:p>
        </w:tc>
        <w:tc>
          <w:tcPr>
            <w:tcW w:w="486" w:type="pct"/>
            <w:noWrap w:val="0"/>
            <w:vAlign w:val="center"/>
          </w:tcPr>
          <w:p w14:paraId="2D3A03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1D9E09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时上报、通报和发布暴雨、洪水等气象信息</w:t>
            </w:r>
          </w:p>
        </w:tc>
        <w:tc>
          <w:tcPr>
            <w:tcW w:w="1605" w:type="pct"/>
            <w:noWrap w:val="0"/>
            <w:vAlign w:val="center"/>
          </w:tcPr>
          <w:p w14:paraId="29D70A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负责应急期间对事发地的天气开展气象要素的实时监测，及时提供应急事件预警预报所需的气象资料信息、天气预报和气象灾害预报、预警信息等气象信息</w:t>
            </w:r>
          </w:p>
        </w:tc>
      </w:tr>
      <w:tr w14:paraId="2B59C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C3D10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bookmarkStart w:id="31" w:name="_Toc6850"/>
          </w:p>
        </w:tc>
        <w:tc>
          <w:tcPr>
            <w:tcW w:w="1509" w:type="dxa"/>
            <w:shd w:val="clear" w:color="auto" w:fill="auto"/>
            <w:noWrap w:val="0"/>
            <w:vAlign w:val="center"/>
          </w:tcPr>
          <w:p w14:paraId="648500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汾阳市事业服务中心</w:t>
            </w:r>
          </w:p>
        </w:tc>
        <w:tc>
          <w:tcPr>
            <w:tcW w:w="995" w:type="dxa"/>
            <w:noWrap w:val="0"/>
            <w:vAlign w:val="center"/>
          </w:tcPr>
          <w:p w14:paraId="5D6A7A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赵学峰</w:t>
            </w:r>
          </w:p>
        </w:tc>
        <w:tc>
          <w:tcPr>
            <w:tcW w:w="1718" w:type="dxa"/>
            <w:noWrap w:val="0"/>
            <w:vAlign w:val="center"/>
          </w:tcPr>
          <w:p w14:paraId="6257CD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0358-7236879</w:t>
            </w:r>
          </w:p>
        </w:tc>
        <w:tc>
          <w:tcPr>
            <w:tcW w:w="1390" w:type="dxa"/>
            <w:noWrap w:val="0"/>
            <w:vAlign w:val="center"/>
          </w:tcPr>
          <w:p w14:paraId="23282D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主任</w:t>
            </w:r>
          </w:p>
        </w:tc>
        <w:tc>
          <w:tcPr>
            <w:tcW w:w="3449" w:type="dxa"/>
            <w:noWrap w:val="0"/>
            <w:vAlign w:val="center"/>
          </w:tcPr>
          <w:p w14:paraId="41724D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负责</w:t>
            </w:r>
            <w:r>
              <w:rPr>
                <w:rFonts w:hint="eastAsia" w:cs="Times New Roman"/>
                <w:sz w:val="24"/>
                <w:szCs w:val="24"/>
                <w:lang w:val="en-US" w:eastAsia="zh-CN"/>
              </w:rPr>
              <w:t>配合住房和城乡建设局开展</w:t>
            </w:r>
            <w:r>
              <w:rPr>
                <w:rFonts w:hint="default" w:ascii="Times New Roman" w:hAnsi="Times New Roman" w:eastAsia="仿宋" w:cs="Times New Roman"/>
                <w:sz w:val="24"/>
                <w:szCs w:val="24"/>
              </w:rPr>
              <w:t>水源地应急预案的日常管理，开展预案培训和演练、应急救援队伍建设和能力评估等工作；</w:t>
            </w:r>
          </w:p>
        </w:tc>
        <w:tc>
          <w:tcPr>
            <w:tcW w:w="4590" w:type="dxa"/>
            <w:noWrap w:val="0"/>
            <w:vAlign w:val="center"/>
          </w:tcPr>
          <w:p w14:paraId="0937663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①贯彻执行总指挥、副总指挥的各项指令和要求；</w:t>
            </w:r>
          </w:p>
          <w:p w14:paraId="0D256CB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②负责信息汇总上报，并与有关的外部应急部门、组织和机构进行联络；</w:t>
            </w:r>
          </w:p>
          <w:p w14:paraId="1D2A7A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w:t>
            </w:r>
            <w:r>
              <w:rPr>
                <w:rFonts w:hint="eastAsia" w:cs="Times New Roman"/>
                <w:sz w:val="24"/>
                <w:szCs w:val="24"/>
                <w:lang w:val="en-US" w:eastAsia="zh-CN"/>
              </w:rPr>
              <w:t>配合住房和城乡建设局</w:t>
            </w:r>
            <w:r>
              <w:rPr>
                <w:rFonts w:hint="default" w:ascii="Times New Roman" w:hAnsi="Times New Roman" w:eastAsia="仿宋" w:cs="Times New Roman"/>
                <w:sz w:val="24"/>
                <w:szCs w:val="24"/>
              </w:rPr>
              <w:t>调动应急人员、调配应急资源和联络外部应急组织或机构；</w:t>
            </w:r>
          </w:p>
          <w:p w14:paraId="21380F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④</w:t>
            </w:r>
            <w:r>
              <w:rPr>
                <w:rFonts w:hint="eastAsia" w:cs="Times New Roman"/>
                <w:sz w:val="24"/>
                <w:szCs w:val="24"/>
                <w:lang w:val="en-US" w:eastAsia="zh-CN"/>
              </w:rPr>
              <w:t>配合住房和城乡建设局</w:t>
            </w:r>
            <w:r>
              <w:rPr>
                <w:rFonts w:hint="default" w:ascii="Times New Roman" w:hAnsi="Times New Roman" w:eastAsia="仿宋" w:cs="Times New Roman"/>
                <w:sz w:val="24"/>
                <w:szCs w:val="24"/>
              </w:rPr>
              <w:t>收集整理有关事件数据</w:t>
            </w:r>
          </w:p>
        </w:tc>
      </w:tr>
    </w:tbl>
    <w:p w14:paraId="4396E951">
      <w:pPr>
        <w:pStyle w:val="3"/>
        <w:keepNext w:val="0"/>
        <w:keepLines w:val="0"/>
        <w:pageBreakBefore w:val="0"/>
        <w:widowControl w:val="0"/>
        <w:kinsoku/>
        <w:wordWrap/>
        <w:overflowPunct/>
        <w:topLinePunct w:val="0"/>
        <w:autoSpaceDE/>
        <w:autoSpaceDN/>
        <w:bidi w:val="0"/>
        <w:adjustRightInd/>
        <w:snapToGrid/>
        <w:spacing w:after="0" w:line="360" w:lineRule="auto"/>
        <w:ind w:left="0"/>
        <w:jc w:val="left"/>
        <w:textAlignment w:val="auto"/>
        <w:rPr>
          <w:rFonts w:hint="default" w:ascii="Times New Roman" w:hAnsi="Times New Roman" w:eastAsia="仿宋" w:cs="Times New Roman"/>
          <w:b/>
          <w:bCs/>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A12FF97">
      <w:pPr>
        <w:pStyle w:val="3"/>
        <w:bidi w:val="0"/>
        <w:rPr>
          <w:rFonts w:hint="default"/>
        </w:rPr>
      </w:pPr>
      <w:bookmarkStart w:id="32" w:name="_Toc6568"/>
      <w:r>
        <w:rPr>
          <w:rFonts w:hint="default"/>
        </w:rPr>
        <w:t>3.3 现场应急指挥部</w:t>
      </w:r>
      <w:bookmarkEnd w:id="31"/>
      <w:bookmarkEnd w:id="32"/>
      <w:r>
        <w:rPr>
          <w:rFonts w:hint="default"/>
        </w:rPr>
        <w:t xml:space="preserve"> </w:t>
      </w:r>
    </w:p>
    <w:p w14:paraId="3FE70683">
      <w:pPr>
        <w:bidi w:val="0"/>
        <w:rPr>
          <w:rFonts w:hint="default"/>
        </w:rPr>
      </w:pPr>
      <w:r>
        <w:rPr>
          <w:rFonts w:hint="default"/>
        </w:rPr>
        <w:t>在</w:t>
      </w:r>
      <w:r>
        <w:rPr>
          <w:rFonts w:hint="eastAsia"/>
          <w:lang w:eastAsia="zh-CN"/>
        </w:rPr>
        <w:t>汾阳市10处乡镇集中式饮用水水源地</w:t>
      </w:r>
      <w:r>
        <w:rPr>
          <w:rFonts w:hint="default"/>
        </w:rPr>
        <w:t>突发环境事件发生后，当信息研判和会商判断饮用水水源地水质可能受影响时，</w:t>
      </w:r>
      <w:r>
        <w:rPr>
          <w:rFonts w:hint="eastAsia"/>
          <w:lang w:eastAsia="zh-CN"/>
        </w:rPr>
        <w:t>汾阳市10处乡镇集中式饮用水水源地应急指挥部</w:t>
      </w:r>
      <w:r>
        <w:rPr>
          <w:rFonts w:hint="default"/>
        </w:rPr>
        <w:t>转换为现场应急指挥部，组织协调相关力量，按照预案实施应急状态处置工作。现场指挥部的主要工作职责如下：</w:t>
      </w:r>
    </w:p>
    <w:p w14:paraId="779F9147">
      <w:pPr>
        <w:bidi w:val="0"/>
        <w:rPr>
          <w:rFonts w:hint="default"/>
        </w:rPr>
      </w:pPr>
      <w:r>
        <w:rPr>
          <w:rFonts w:hint="default"/>
        </w:rPr>
        <w:t>（</w:t>
      </w:r>
      <w:r>
        <w:rPr>
          <w:rFonts w:hint="default"/>
          <w:lang w:val="en-US" w:eastAsia="zh-CN"/>
        </w:rPr>
        <w:t>1</w:t>
      </w:r>
      <w:r>
        <w:rPr>
          <w:rFonts w:hint="default"/>
        </w:rPr>
        <w:t>）贯彻国家应急工作方针，根据</w:t>
      </w:r>
      <w:r>
        <w:rPr>
          <w:rFonts w:hint="eastAsia"/>
          <w:lang w:eastAsia="zh-CN"/>
        </w:rPr>
        <w:t>汾阳市人民政府</w:t>
      </w:r>
      <w:r>
        <w:rPr>
          <w:rFonts w:hint="default"/>
        </w:rPr>
        <w:t>应急工作原则和方案，组织</w:t>
      </w:r>
      <w:r>
        <w:rPr>
          <w:rFonts w:hint="eastAsia"/>
          <w:lang w:val="en-US" w:eastAsia="zh-CN"/>
        </w:rPr>
        <w:t>相</w:t>
      </w:r>
      <w:r>
        <w:rPr>
          <w:rFonts w:hint="default"/>
        </w:rPr>
        <w:t xml:space="preserve">关职能部门对事故发生地区进行技术支持和支援； </w:t>
      </w:r>
    </w:p>
    <w:p w14:paraId="26A68950">
      <w:pPr>
        <w:bidi w:val="0"/>
        <w:rPr>
          <w:rFonts w:hint="default"/>
        </w:rPr>
      </w:pPr>
      <w:r>
        <w:rPr>
          <w:rFonts w:hint="default"/>
        </w:rPr>
        <w:t>（</w:t>
      </w:r>
      <w:r>
        <w:rPr>
          <w:rFonts w:hint="default"/>
          <w:lang w:val="en-US" w:eastAsia="zh-CN"/>
        </w:rPr>
        <w:t>2</w:t>
      </w:r>
      <w:r>
        <w:rPr>
          <w:rFonts w:hint="default"/>
        </w:rPr>
        <w:t>）领导和协调</w:t>
      </w:r>
      <w:r>
        <w:rPr>
          <w:rFonts w:hint="eastAsia"/>
          <w:lang w:eastAsia="zh-CN"/>
        </w:rPr>
        <w:t>汾阳市10处乡镇集中式饮用水水源地</w:t>
      </w:r>
      <w:r>
        <w:rPr>
          <w:rFonts w:hint="default"/>
        </w:rPr>
        <w:t xml:space="preserve">突发环境事件应急工作； </w:t>
      </w:r>
    </w:p>
    <w:p w14:paraId="617D04C1">
      <w:pPr>
        <w:bidi w:val="0"/>
        <w:rPr>
          <w:rFonts w:hint="default"/>
        </w:rPr>
      </w:pPr>
      <w:r>
        <w:rPr>
          <w:rFonts w:hint="default"/>
        </w:rPr>
        <w:t>（</w:t>
      </w:r>
      <w:r>
        <w:rPr>
          <w:rFonts w:hint="default"/>
          <w:lang w:val="en-US" w:eastAsia="zh-CN"/>
        </w:rPr>
        <w:t>3</w:t>
      </w:r>
      <w:r>
        <w:rPr>
          <w:rFonts w:hint="default"/>
        </w:rPr>
        <w:t>）及时了解掌握</w:t>
      </w:r>
      <w:r>
        <w:rPr>
          <w:rFonts w:hint="eastAsia"/>
          <w:lang w:eastAsia="zh-CN"/>
        </w:rPr>
        <w:t>汾阳市10处乡镇集中式饮用水水源地</w:t>
      </w:r>
      <w:r>
        <w:rPr>
          <w:rFonts w:hint="default"/>
        </w:rPr>
        <w:t xml:space="preserve">突发环境事件情况，根据情况需要，向应急指挥部报告事故情况和提出应急措施的建议； </w:t>
      </w:r>
    </w:p>
    <w:p w14:paraId="56C0E676">
      <w:pPr>
        <w:bidi w:val="0"/>
        <w:rPr>
          <w:rFonts w:hint="default"/>
        </w:rPr>
      </w:pPr>
      <w:r>
        <w:rPr>
          <w:rFonts w:hint="default"/>
        </w:rPr>
        <w:t>（</w:t>
      </w:r>
      <w:r>
        <w:rPr>
          <w:rFonts w:hint="default"/>
          <w:lang w:val="en-US" w:eastAsia="zh-CN"/>
        </w:rPr>
        <w:t>4</w:t>
      </w:r>
      <w:r>
        <w:rPr>
          <w:rFonts w:hint="default"/>
        </w:rPr>
        <w:t>）组织协调指挥部各职能组按照预案迅速开展抢险救灾工作，力争将损失降到最低程度；</w:t>
      </w:r>
    </w:p>
    <w:p w14:paraId="3E898AF7">
      <w:pPr>
        <w:bidi w:val="0"/>
        <w:rPr>
          <w:rFonts w:hint="default"/>
        </w:rPr>
      </w:pPr>
      <w:r>
        <w:rPr>
          <w:rFonts w:hint="default"/>
        </w:rPr>
        <w:t>（</w:t>
      </w:r>
      <w:r>
        <w:rPr>
          <w:rFonts w:hint="default"/>
          <w:lang w:val="en-US" w:eastAsia="zh-CN"/>
        </w:rPr>
        <w:t>5</w:t>
      </w:r>
      <w:r>
        <w:rPr>
          <w:rFonts w:hint="default"/>
        </w:rPr>
        <w:t>）根据事故发生状态，统一部署抢险预案的实施工作，并对应急工作中发生的争议采取紧急处理措施；</w:t>
      </w:r>
    </w:p>
    <w:p w14:paraId="2AA8CB4F">
      <w:pPr>
        <w:bidi w:val="0"/>
        <w:rPr>
          <w:rFonts w:hint="default"/>
        </w:rPr>
      </w:pPr>
      <w:r>
        <w:rPr>
          <w:rFonts w:hint="default"/>
        </w:rPr>
        <w:t xml:space="preserve">（6）在本行政区域内紧急征用各类物资、设备、人员和占用场地，在事故处理后及时归还或给予补偿。做好稳定社会秩序和伤亡人员的善后和安抚工作； </w:t>
      </w:r>
    </w:p>
    <w:p w14:paraId="2DEBCCBF">
      <w:pPr>
        <w:bidi w:val="0"/>
        <w:rPr>
          <w:rFonts w:hint="default"/>
        </w:rPr>
      </w:pPr>
      <w:r>
        <w:rPr>
          <w:rFonts w:hint="default"/>
        </w:rPr>
        <w:t>（</w:t>
      </w:r>
      <w:r>
        <w:rPr>
          <w:rFonts w:hint="default"/>
          <w:lang w:val="en-US" w:eastAsia="zh-CN"/>
        </w:rPr>
        <w:t>7</w:t>
      </w:r>
      <w:r>
        <w:rPr>
          <w:rFonts w:hint="default"/>
        </w:rPr>
        <w:t xml:space="preserve">）组织事故应急技术研究和应急知识宣传教育等工作； </w:t>
      </w:r>
    </w:p>
    <w:p w14:paraId="47544F45">
      <w:pPr>
        <w:bidi w:val="0"/>
        <w:rPr>
          <w:rFonts w:hint="default"/>
        </w:rPr>
      </w:pPr>
      <w:r>
        <w:rPr>
          <w:rFonts w:hint="default"/>
        </w:rPr>
        <w:t>（</w:t>
      </w:r>
      <w:r>
        <w:rPr>
          <w:rFonts w:hint="default"/>
          <w:lang w:val="en-US" w:eastAsia="zh-CN"/>
        </w:rPr>
        <w:t>8</w:t>
      </w:r>
      <w:r>
        <w:rPr>
          <w:rFonts w:hint="default"/>
        </w:rPr>
        <w:t xml:space="preserve">）负责集中式饮用水源突发环境事件应急信息的接收、核实、处理、传递、通报、报告，及现场新闻报道的指导、审查工作； </w:t>
      </w:r>
    </w:p>
    <w:p w14:paraId="408E181B">
      <w:pPr>
        <w:bidi w:val="0"/>
        <w:rPr>
          <w:rFonts w:hint="default"/>
        </w:rPr>
      </w:pPr>
      <w:r>
        <w:rPr>
          <w:rFonts w:hint="default"/>
        </w:rPr>
        <w:t>（</w:t>
      </w:r>
      <w:r>
        <w:rPr>
          <w:rFonts w:hint="default"/>
          <w:lang w:val="en-US" w:eastAsia="zh-CN"/>
        </w:rPr>
        <w:t>9</w:t>
      </w:r>
      <w:r>
        <w:rPr>
          <w:rFonts w:hint="default"/>
        </w:rPr>
        <w:t>）处理其他有关</w:t>
      </w:r>
      <w:r>
        <w:rPr>
          <w:rFonts w:hint="eastAsia"/>
          <w:lang w:eastAsia="zh-CN"/>
        </w:rPr>
        <w:t>汾阳市10处乡镇集中式饮用水水源地</w:t>
      </w:r>
      <w:r>
        <w:rPr>
          <w:rFonts w:hint="default"/>
        </w:rPr>
        <w:t xml:space="preserve">突发环境事件应急的重要事项； </w:t>
      </w:r>
    </w:p>
    <w:p w14:paraId="6E6BC97C">
      <w:pPr>
        <w:bidi w:val="0"/>
        <w:rPr>
          <w:rFonts w:hint="default"/>
        </w:rPr>
      </w:pPr>
      <w:r>
        <w:rPr>
          <w:rFonts w:hint="default"/>
        </w:rPr>
        <w:t>（</w:t>
      </w:r>
      <w:r>
        <w:rPr>
          <w:rFonts w:hint="default"/>
          <w:lang w:val="en-US" w:eastAsia="zh-CN"/>
        </w:rPr>
        <w:t>10</w:t>
      </w:r>
      <w:r>
        <w:rPr>
          <w:rFonts w:hint="default"/>
        </w:rPr>
        <w:t xml:space="preserve">）如已发生二次危害，立即组织相关部门采取有效措施控制事态发展。 </w:t>
      </w:r>
    </w:p>
    <w:p w14:paraId="17A842D6">
      <w:pPr>
        <w:pStyle w:val="3"/>
        <w:bidi w:val="0"/>
        <w:rPr>
          <w:rFonts w:hint="default"/>
        </w:rPr>
      </w:pPr>
      <w:bookmarkStart w:id="33" w:name="_Toc9895"/>
      <w:bookmarkStart w:id="34" w:name="_Toc17016"/>
      <w:r>
        <w:rPr>
          <w:rFonts w:hint="default"/>
        </w:rPr>
        <w:t>3.4 现场应急工作组</w:t>
      </w:r>
      <w:bookmarkEnd w:id="33"/>
      <w:bookmarkEnd w:id="34"/>
      <w:r>
        <w:rPr>
          <w:rFonts w:hint="default"/>
        </w:rPr>
        <w:t xml:space="preserve"> </w:t>
      </w:r>
    </w:p>
    <w:p w14:paraId="79084DBC">
      <w:pPr>
        <w:bidi w:val="0"/>
        <w:rPr>
          <w:rFonts w:hint="default"/>
        </w:rPr>
      </w:pPr>
      <w:r>
        <w:rPr>
          <w:rFonts w:hint="default"/>
        </w:rPr>
        <w:t xml:space="preserve">现场应急指挥部根据事件类型及工作需要，设立应急处置组、应急监测组、应急供水保障组、应急物资保障组、医疗救治组、事件调查组、综合和应急专家组等。指挥运行机制：应急指挥部根据收集的突发事件信息和现场具体情况进行决策，指挥各应急小组进行应急处置、水质污染监测、居民供水保障、医疗救助、应急物资调用、应急信息发布及后期处置等相关工作。各组牵头单位负责人为各组组长，各组成员单位配合工作。应急指挥部指挥和协调各应急小组行动，小组之间相互联系配合，合理高效地处置突发环境事件。 </w:t>
      </w:r>
    </w:p>
    <w:p w14:paraId="7CF1A986">
      <w:pPr>
        <w:bidi w:val="0"/>
        <w:rPr>
          <w:rFonts w:hint="default" w:ascii="Times New Roman" w:hAnsi="Times New Roman" w:eastAsia="仿宋" w:cs="Times New Roman"/>
          <w:szCs w:val="28"/>
          <w:highlight w:val="none"/>
        </w:rPr>
      </w:pPr>
      <w:r>
        <w:rPr>
          <w:rFonts w:hint="default"/>
        </w:rPr>
        <w:t>工作组设置、组成和职责可根据实际工作需要作适当调整。现场应急工作组职责见</w:t>
      </w:r>
      <w:r>
        <w:rPr>
          <w:rFonts w:hint="eastAsia"/>
          <w:lang w:val="en-US" w:eastAsia="zh-CN"/>
        </w:rPr>
        <w:t>表3-2</w:t>
      </w:r>
      <w:r>
        <w:rPr>
          <w:rFonts w:hint="default"/>
        </w:rPr>
        <w:t>。</w:t>
      </w:r>
    </w:p>
    <w:p w14:paraId="372A0337">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highlight w:val="none"/>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309F5702">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 xml:space="preserve">表3-2 </w:t>
      </w:r>
      <w:r>
        <w:rPr>
          <w:rFonts w:hint="default" w:ascii="Times New Roman" w:hAnsi="Times New Roman" w:eastAsia="仿宋" w:cs="Times New Roman"/>
          <w:b/>
          <w:bCs/>
          <w:sz w:val="28"/>
          <w:szCs w:val="28"/>
          <w:lang w:val="en-US" w:eastAsia="zh-CN"/>
        </w:rPr>
        <w:t>应急工作组职责表</w:t>
      </w:r>
    </w:p>
    <w:tbl>
      <w:tblPr>
        <w:tblStyle w:val="26"/>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31" w:type="dxa"/>
        </w:tblCellMar>
      </w:tblPr>
      <w:tblGrid>
        <w:gridCol w:w="1693"/>
        <w:gridCol w:w="1"/>
        <w:gridCol w:w="1258"/>
        <w:gridCol w:w="4646"/>
        <w:gridCol w:w="6452"/>
        <w:gridCol w:w="1"/>
      </w:tblGrid>
      <w:tr w14:paraId="0895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7598" w:type="dxa"/>
            <w:gridSpan w:val="4"/>
            <w:vAlign w:val="center"/>
          </w:tcPr>
          <w:p w14:paraId="205126C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b/>
                <w:bCs/>
                <w:sz w:val="24"/>
                <w:szCs w:val="24"/>
                <w:highlight w:val="none"/>
                <w:lang w:val="en-US" w:eastAsia="zh-CN"/>
              </w:rPr>
            </w:pPr>
            <w:r>
              <w:rPr>
                <w:rFonts w:hint="default" w:ascii="Times New Roman" w:hAnsi="Times New Roman" w:eastAsia="仿宋" w:cs="Times New Roman"/>
                <w:b/>
                <w:bCs/>
                <w:sz w:val="24"/>
                <w:szCs w:val="24"/>
                <w:highlight w:val="none"/>
                <w:lang w:val="en-US" w:eastAsia="zh-CN"/>
              </w:rPr>
              <w:t>应急工作组组成</w:t>
            </w:r>
          </w:p>
        </w:tc>
        <w:tc>
          <w:tcPr>
            <w:tcW w:w="6453" w:type="dxa"/>
            <w:gridSpan w:val="2"/>
            <w:vAlign w:val="center"/>
          </w:tcPr>
          <w:p w14:paraId="603F592F">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b/>
                <w:bCs/>
                <w:sz w:val="24"/>
                <w:szCs w:val="24"/>
                <w:highlight w:val="none"/>
                <w:lang w:val="en-US" w:eastAsia="zh-CN"/>
              </w:rPr>
            </w:pPr>
            <w:r>
              <w:rPr>
                <w:rFonts w:hint="default" w:ascii="Times New Roman" w:hAnsi="Times New Roman" w:eastAsia="仿宋" w:cs="Times New Roman"/>
                <w:b/>
                <w:bCs/>
                <w:sz w:val="24"/>
                <w:szCs w:val="24"/>
                <w:highlight w:val="none"/>
                <w:lang w:val="en-US" w:eastAsia="zh-CN"/>
              </w:rPr>
              <w:t>应急职责</w:t>
            </w:r>
          </w:p>
        </w:tc>
      </w:tr>
      <w:tr w14:paraId="4F77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3964540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应急处置组</w:t>
            </w:r>
          </w:p>
        </w:tc>
        <w:tc>
          <w:tcPr>
            <w:tcW w:w="1259" w:type="dxa"/>
            <w:gridSpan w:val="2"/>
            <w:vAlign w:val="center"/>
          </w:tcPr>
          <w:p w14:paraId="56C4D3A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1F6E024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各</w:t>
            </w:r>
            <w:r>
              <w:rPr>
                <w:rFonts w:hint="default" w:ascii="Times New Roman" w:hAnsi="Times New Roman" w:eastAsia="仿宋" w:cs="Times New Roman"/>
                <w:sz w:val="24"/>
                <w:szCs w:val="24"/>
                <w:highlight w:val="none"/>
                <w:lang w:val="en-US" w:eastAsia="zh-CN"/>
              </w:rPr>
              <w:t>乡镇人民政府</w:t>
            </w:r>
          </w:p>
        </w:tc>
        <w:tc>
          <w:tcPr>
            <w:tcW w:w="6453" w:type="dxa"/>
            <w:gridSpan w:val="2"/>
            <w:vMerge w:val="restart"/>
            <w:vAlign w:val="center"/>
          </w:tcPr>
          <w:p w14:paraId="4E96203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制定应急处置方案；</w:t>
            </w:r>
          </w:p>
          <w:p w14:paraId="4F61431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负责现场污染物消除、围堵和削减，以及污染物收集、转运和异地处置等工作。</w:t>
            </w:r>
          </w:p>
        </w:tc>
      </w:tr>
      <w:tr w14:paraId="03B6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5630C58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47E1A0C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16B0C5C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农业农村局、</w:t>
            </w:r>
            <w:r>
              <w:rPr>
                <w:rFonts w:hint="eastAsia" w:cs="Times New Roman"/>
                <w:sz w:val="24"/>
                <w:szCs w:val="24"/>
                <w:highlight w:val="none"/>
                <w:lang w:val="en-US" w:eastAsia="zh-CN"/>
              </w:rPr>
              <w:t>汾阳市自然资源局</w:t>
            </w:r>
            <w:r>
              <w:rPr>
                <w:rFonts w:hint="default" w:ascii="Times New Roman" w:hAnsi="Times New Roman" w:eastAsia="仿宋" w:cs="Times New Roman"/>
                <w:sz w:val="24"/>
                <w:szCs w:val="24"/>
                <w:highlight w:val="none"/>
                <w:lang w:val="en-US" w:eastAsia="zh-CN"/>
              </w:rPr>
              <w:t>、</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城乡建设</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交通运输局、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消防救援大队、市生态环境局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w:t>
            </w:r>
          </w:p>
        </w:tc>
        <w:tc>
          <w:tcPr>
            <w:tcW w:w="6453" w:type="dxa"/>
            <w:gridSpan w:val="2"/>
            <w:vMerge w:val="continue"/>
            <w:vAlign w:val="center"/>
          </w:tcPr>
          <w:p w14:paraId="1AC19CE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32DB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2E85506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应急监测组</w:t>
            </w:r>
          </w:p>
        </w:tc>
        <w:tc>
          <w:tcPr>
            <w:tcW w:w="1259" w:type="dxa"/>
            <w:gridSpan w:val="2"/>
            <w:vAlign w:val="center"/>
          </w:tcPr>
          <w:p w14:paraId="66894CA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7145705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市</w:t>
            </w:r>
            <w:r>
              <w:rPr>
                <w:rFonts w:hint="eastAsia" w:cs="Times New Roman"/>
                <w:sz w:val="24"/>
                <w:szCs w:val="24"/>
                <w:highlight w:val="none"/>
                <w:lang w:val="en-US" w:eastAsia="zh-CN"/>
              </w:rPr>
              <w:t>各</w:t>
            </w:r>
            <w:r>
              <w:rPr>
                <w:rFonts w:hint="default" w:ascii="Times New Roman" w:hAnsi="Times New Roman" w:eastAsia="仿宋" w:cs="Times New Roman"/>
                <w:sz w:val="24"/>
                <w:szCs w:val="24"/>
                <w:highlight w:val="none"/>
                <w:lang w:val="en-US" w:eastAsia="zh-CN"/>
              </w:rPr>
              <w:t>乡镇人民政府。</w:t>
            </w:r>
          </w:p>
        </w:tc>
        <w:tc>
          <w:tcPr>
            <w:tcW w:w="6453" w:type="dxa"/>
            <w:gridSpan w:val="2"/>
            <w:vMerge w:val="restart"/>
            <w:vAlign w:val="center"/>
          </w:tcPr>
          <w:p w14:paraId="2496F32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负责制定应急监测方案；</w:t>
            </w:r>
          </w:p>
          <w:p w14:paraId="25D150F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负责在污染带上游、下游分别设置断面进行应急监测；</w:t>
            </w:r>
          </w:p>
          <w:p w14:paraId="1F0A965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（3）</w:t>
            </w:r>
            <w:r>
              <w:rPr>
                <w:rFonts w:hint="default" w:ascii="Times New Roman" w:hAnsi="Times New Roman" w:eastAsia="仿宋" w:cs="Times New Roman"/>
                <w:sz w:val="24"/>
                <w:szCs w:val="24"/>
                <w:highlight w:val="none"/>
                <w:lang w:val="en-US" w:eastAsia="zh-CN"/>
              </w:rPr>
              <w:t>负责应急期间的水源地、水厂和管网末梢水的水质监测；</w:t>
            </w:r>
          </w:p>
          <w:p w14:paraId="53354D7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（4）</w:t>
            </w:r>
            <w:r>
              <w:rPr>
                <w:rFonts w:hint="default" w:ascii="Times New Roman" w:hAnsi="Times New Roman" w:eastAsia="仿宋" w:cs="Times New Roman"/>
                <w:sz w:val="24"/>
                <w:szCs w:val="24"/>
                <w:highlight w:val="none"/>
                <w:lang w:val="en-US" w:eastAsia="zh-CN"/>
              </w:rPr>
              <w:t>负责水源地周边气象条件监测。</w:t>
            </w:r>
          </w:p>
        </w:tc>
      </w:tr>
      <w:tr w14:paraId="5EF6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4DA046B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62E94111">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7A9B634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农业农村</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水利局、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城乡建设</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交通运输局、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卫生健康局、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气象局</w:t>
            </w:r>
            <w:r>
              <w:rPr>
                <w:rFonts w:hint="eastAsia" w:cs="Times New Roman"/>
                <w:sz w:val="24"/>
                <w:szCs w:val="24"/>
                <w:highlight w:val="none"/>
                <w:lang w:val="en-US" w:eastAsia="zh-CN"/>
              </w:rPr>
              <w:t>、</w:t>
            </w:r>
            <w:r>
              <w:rPr>
                <w:rFonts w:hint="default" w:ascii="Times New Roman" w:hAnsi="Times New Roman" w:eastAsia="仿宋" w:cs="Times New Roman"/>
                <w:sz w:val="24"/>
                <w:szCs w:val="24"/>
                <w:highlight w:val="none"/>
                <w:lang w:val="en-US" w:eastAsia="zh-CN"/>
              </w:rPr>
              <w:t>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w:t>
            </w:r>
          </w:p>
        </w:tc>
        <w:tc>
          <w:tcPr>
            <w:tcW w:w="6453" w:type="dxa"/>
            <w:gridSpan w:val="2"/>
            <w:vMerge w:val="continue"/>
            <w:vAlign w:val="center"/>
          </w:tcPr>
          <w:p w14:paraId="5FADAE5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2D5C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3161D14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应急供水保障组</w:t>
            </w:r>
          </w:p>
        </w:tc>
        <w:tc>
          <w:tcPr>
            <w:tcW w:w="1259" w:type="dxa"/>
            <w:gridSpan w:val="2"/>
            <w:vAlign w:val="center"/>
          </w:tcPr>
          <w:p w14:paraId="2FA425E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68D5665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农业农村</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水利局、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城乡建设和交通运输局。</w:t>
            </w:r>
          </w:p>
        </w:tc>
        <w:tc>
          <w:tcPr>
            <w:tcW w:w="6453" w:type="dxa"/>
            <w:gridSpan w:val="2"/>
            <w:vMerge w:val="restart"/>
            <w:vAlign w:val="center"/>
          </w:tcPr>
          <w:p w14:paraId="2014F84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制定应急供水保障方案，指导供水单位启动深度处理设施或</w:t>
            </w:r>
            <w:r>
              <w:rPr>
                <w:rFonts w:hint="eastAsia" w:cs="Times New Roman"/>
                <w:sz w:val="24"/>
                <w:szCs w:val="24"/>
                <w:highlight w:val="none"/>
                <w:lang w:val="en-US" w:eastAsia="zh-CN"/>
              </w:rPr>
              <w:t>启用</w:t>
            </w:r>
            <w:r>
              <w:rPr>
                <w:rFonts w:hint="default" w:ascii="Times New Roman" w:hAnsi="Times New Roman" w:eastAsia="仿宋" w:cs="Times New Roman"/>
                <w:sz w:val="24"/>
                <w:szCs w:val="24"/>
                <w:highlight w:val="none"/>
                <w:lang w:val="en-US" w:eastAsia="zh-CN"/>
              </w:rPr>
              <w:t>备用</w:t>
            </w:r>
            <w:r>
              <w:rPr>
                <w:rFonts w:hint="eastAsia" w:cs="Times New Roman"/>
                <w:sz w:val="24"/>
                <w:szCs w:val="24"/>
                <w:highlight w:val="none"/>
                <w:lang w:val="en-US" w:eastAsia="zh-CN"/>
              </w:rPr>
              <w:t>水源及调配应急供水车</w:t>
            </w:r>
            <w:r>
              <w:rPr>
                <w:rFonts w:hint="default" w:ascii="Times New Roman" w:hAnsi="Times New Roman" w:eastAsia="仿宋" w:cs="Times New Roman"/>
                <w:sz w:val="24"/>
                <w:szCs w:val="24"/>
                <w:highlight w:val="none"/>
                <w:lang w:val="en-US" w:eastAsia="zh-CN"/>
              </w:rPr>
              <w:t>等</w:t>
            </w:r>
            <w:r>
              <w:rPr>
                <w:rFonts w:hint="eastAsia" w:cs="Times New Roman"/>
                <w:sz w:val="24"/>
                <w:szCs w:val="24"/>
                <w:highlight w:val="none"/>
                <w:lang w:val="en-US" w:eastAsia="zh-CN"/>
              </w:rPr>
              <w:t>保障</w:t>
            </w:r>
            <w:r>
              <w:rPr>
                <w:rFonts w:hint="default" w:ascii="Times New Roman" w:hAnsi="Times New Roman" w:eastAsia="仿宋" w:cs="Times New Roman"/>
                <w:sz w:val="24"/>
                <w:szCs w:val="24"/>
                <w:highlight w:val="none"/>
                <w:lang w:val="en-US" w:eastAsia="zh-CN"/>
              </w:rPr>
              <w:t>措施，保障居民用水。</w:t>
            </w:r>
          </w:p>
        </w:tc>
      </w:tr>
      <w:tr w14:paraId="4705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1D276DB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5A3AF6D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7E711FC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分局、乡镇人民政府。</w:t>
            </w:r>
          </w:p>
        </w:tc>
        <w:tc>
          <w:tcPr>
            <w:tcW w:w="6453" w:type="dxa"/>
            <w:gridSpan w:val="2"/>
            <w:vMerge w:val="continue"/>
            <w:vAlign w:val="center"/>
          </w:tcPr>
          <w:p w14:paraId="01D5BA2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2BB1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0A33B38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应急物资保障组</w:t>
            </w:r>
          </w:p>
        </w:tc>
        <w:tc>
          <w:tcPr>
            <w:tcW w:w="1259" w:type="dxa"/>
            <w:gridSpan w:val="2"/>
            <w:vAlign w:val="center"/>
          </w:tcPr>
          <w:p w14:paraId="6705BED5">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34484EE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各乡镇人民政府</w:t>
            </w:r>
          </w:p>
        </w:tc>
        <w:tc>
          <w:tcPr>
            <w:tcW w:w="6453" w:type="dxa"/>
            <w:gridSpan w:val="2"/>
            <w:vMerge w:val="restart"/>
            <w:vAlign w:val="center"/>
          </w:tcPr>
          <w:p w14:paraId="57219FF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制定应急物资保障方案；负责调配应急物资、协调运输车辆；负责协调补偿征用物资、应急救援和污染物处置等费</w:t>
            </w:r>
          </w:p>
        </w:tc>
      </w:tr>
      <w:tr w14:paraId="0690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255E1C74">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2D18BB9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387808C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发改工信和科技商务局、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城乡建设和交通运输局、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财政局、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经济技术开发区管理委员会、</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自来水公司</w:t>
            </w:r>
            <w:r>
              <w:rPr>
                <w:rFonts w:hint="eastAsia" w:cs="Times New Roman"/>
                <w:sz w:val="24"/>
                <w:szCs w:val="24"/>
                <w:highlight w:val="none"/>
                <w:lang w:val="en-US" w:eastAsia="zh-CN"/>
              </w:rPr>
              <w:t>；</w:t>
            </w:r>
          </w:p>
        </w:tc>
        <w:tc>
          <w:tcPr>
            <w:tcW w:w="6453" w:type="dxa"/>
            <w:gridSpan w:val="2"/>
            <w:vMerge w:val="continue"/>
            <w:vAlign w:val="center"/>
          </w:tcPr>
          <w:p w14:paraId="473D6795">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021F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759B5E7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医疗救治组</w:t>
            </w:r>
          </w:p>
        </w:tc>
        <w:tc>
          <w:tcPr>
            <w:tcW w:w="1259" w:type="dxa"/>
            <w:gridSpan w:val="2"/>
            <w:vAlign w:val="center"/>
          </w:tcPr>
          <w:p w14:paraId="7AC31C7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7FE25BCF">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卫生健康局</w:t>
            </w:r>
            <w:r>
              <w:rPr>
                <w:rFonts w:hint="eastAsia" w:cs="Times New Roman"/>
                <w:sz w:val="24"/>
                <w:szCs w:val="24"/>
                <w:highlight w:val="none"/>
                <w:lang w:val="en-US" w:eastAsia="zh-CN"/>
              </w:rPr>
              <w:t>、</w:t>
            </w:r>
            <w:r>
              <w:rPr>
                <w:rFonts w:hint="default" w:ascii="Times New Roman" w:hAnsi="Times New Roman" w:eastAsia="仿宋" w:cs="Times New Roman"/>
                <w:sz w:val="24"/>
                <w:szCs w:val="24"/>
                <w:highlight w:val="none"/>
                <w:lang w:val="en-US" w:eastAsia="zh-CN"/>
              </w:rPr>
              <w:t>各乡镇人民政府。</w:t>
            </w:r>
          </w:p>
        </w:tc>
        <w:tc>
          <w:tcPr>
            <w:tcW w:w="6453" w:type="dxa"/>
            <w:gridSpan w:val="2"/>
            <w:vMerge w:val="restart"/>
            <w:vAlign w:val="center"/>
          </w:tcPr>
          <w:p w14:paraId="54A5301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（1）负责救治伤员；</w:t>
            </w:r>
          </w:p>
          <w:p w14:paraId="18E2B52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（2）负责事故现场的卫生防疫和监督工作；</w:t>
            </w:r>
          </w:p>
          <w:p w14:paraId="4A9A132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（3）及时向应急指挥部报告人员伤亡等情况。</w:t>
            </w:r>
          </w:p>
        </w:tc>
      </w:tr>
      <w:tr w14:paraId="682B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173C3371">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 w:type="dxa"/>
            <w:vAlign w:val="center"/>
          </w:tcPr>
          <w:p w14:paraId="5B2E84C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8" w:type="dxa"/>
            <w:vAlign w:val="center"/>
          </w:tcPr>
          <w:p w14:paraId="12347FE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0F806D6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消防救援大队。</w:t>
            </w:r>
          </w:p>
        </w:tc>
        <w:tc>
          <w:tcPr>
            <w:tcW w:w="6453" w:type="dxa"/>
            <w:gridSpan w:val="2"/>
            <w:vMerge w:val="continue"/>
            <w:vAlign w:val="center"/>
          </w:tcPr>
          <w:p w14:paraId="7F259F3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5867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Merge w:val="restart"/>
            <w:vAlign w:val="center"/>
          </w:tcPr>
          <w:p w14:paraId="4F7CE92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事件调查组</w:t>
            </w:r>
          </w:p>
        </w:tc>
        <w:tc>
          <w:tcPr>
            <w:tcW w:w="1259" w:type="dxa"/>
            <w:gridSpan w:val="2"/>
            <w:vAlign w:val="center"/>
          </w:tcPr>
          <w:p w14:paraId="3C36D9E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446ADC6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w:t>
            </w:r>
          </w:p>
        </w:tc>
        <w:tc>
          <w:tcPr>
            <w:tcW w:w="6452" w:type="dxa"/>
            <w:vMerge w:val="restart"/>
            <w:vAlign w:val="center"/>
          </w:tcPr>
          <w:p w14:paraId="695EF04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调查事件原因，做出调查结论，评估影响，提出防范意见；</w:t>
            </w:r>
          </w:p>
          <w:p w14:paraId="4B3166C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负责配合纪检监察机关追究相关单位和责任人的行政责任。</w:t>
            </w:r>
          </w:p>
        </w:tc>
      </w:tr>
      <w:tr w14:paraId="524F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Merge w:val="continue"/>
            <w:vAlign w:val="center"/>
          </w:tcPr>
          <w:p w14:paraId="353E563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3A78E50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5FAA898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农业农村</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水利局、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自来是公司。</w:t>
            </w:r>
          </w:p>
        </w:tc>
        <w:tc>
          <w:tcPr>
            <w:tcW w:w="6452" w:type="dxa"/>
            <w:vMerge w:val="continue"/>
            <w:vAlign w:val="center"/>
          </w:tcPr>
          <w:p w14:paraId="43A6A82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2B93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Merge w:val="restart"/>
            <w:vAlign w:val="center"/>
          </w:tcPr>
          <w:p w14:paraId="3BCE158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综合组</w:t>
            </w:r>
          </w:p>
        </w:tc>
        <w:tc>
          <w:tcPr>
            <w:tcW w:w="1259" w:type="dxa"/>
            <w:gridSpan w:val="2"/>
            <w:vAlign w:val="center"/>
          </w:tcPr>
          <w:p w14:paraId="2C6614A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356E5E2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人民政府</w:t>
            </w:r>
          </w:p>
        </w:tc>
        <w:tc>
          <w:tcPr>
            <w:tcW w:w="6452" w:type="dxa"/>
            <w:vMerge w:val="restart"/>
            <w:vAlign w:val="center"/>
          </w:tcPr>
          <w:p w14:paraId="2603E4C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负责宣传报道工作；</w:t>
            </w:r>
          </w:p>
          <w:p w14:paraId="4D5257B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加强舆情收集分析，正确引导社会舆论。</w:t>
            </w:r>
          </w:p>
        </w:tc>
      </w:tr>
      <w:tr w14:paraId="488B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Merge w:val="continue"/>
            <w:vAlign w:val="center"/>
          </w:tcPr>
          <w:p w14:paraId="7EA9002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61D0FDA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0EF5F4B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应急管理局、乡镇人民政府。</w:t>
            </w:r>
          </w:p>
        </w:tc>
        <w:tc>
          <w:tcPr>
            <w:tcW w:w="6452" w:type="dxa"/>
            <w:vMerge w:val="continue"/>
            <w:vAlign w:val="center"/>
          </w:tcPr>
          <w:p w14:paraId="28115F8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7A6D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Align w:val="center"/>
          </w:tcPr>
          <w:p w14:paraId="3804E1F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应急专家组</w:t>
            </w:r>
          </w:p>
        </w:tc>
        <w:tc>
          <w:tcPr>
            <w:tcW w:w="1259" w:type="dxa"/>
            <w:gridSpan w:val="2"/>
            <w:vAlign w:val="center"/>
          </w:tcPr>
          <w:p w14:paraId="0175E3B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w:t>
            </w:r>
          </w:p>
        </w:tc>
        <w:tc>
          <w:tcPr>
            <w:tcW w:w="4646" w:type="dxa"/>
            <w:vAlign w:val="center"/>
          </w:tcPr>
          <w:p w14:paraId="2F46304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水源地管理、水体修复、环境保护和饮水卫生安全等方面的专家。</w:t>
            </w:r>
          </w:p>
        </w:tc>
        <w:tc>
          <w:tcPr>
            <w:tcW w:w="6452" w:type="dxa"/>
            <w:vAlign w:val="center"/>
          </w:tcPr>
          <w:p w14:paraId="0251AAD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为现场应急处置提供技术支持。</w:t>
            </w:r>
          </w:p>
        </w:tc>
      </w:tr>
    </w:tbl>
    <w:p w14:paraId="396743D6">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highlight w:val="none"/>
        </w:rPr>
        <w:t xml:space="preserve"> </w:t>
      </w:r>
    </w:p>
    <w:p w14:paraId="78ABAE29">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9BB975A">
      <w:pPr>
        <w:pStyle w:val="2"/>
        <w:bidi w:val="0"/>
        <w:rPr>
          <w:rFonts w:hint="default"/>
        </w:rPr>
      </w:pPr>
      <w:bookmarkStart w:id="35" w:name="_Toc5466"/>
      <w:bookmarkStart w:id="36" w:name="_Toc10830"/>
      <w:r>
        <w:rPr>
          <w:rFonts w:hint="default"/>
        </w:rPr>
        <w:t>第</w:t>
      </w:r>
      <w:r>
        <w:rPr>
          <w:rFonts w:hint="default"/>
          <w:lang w:val="en-US" w:eastAsia="zh-CN"/>
        </w:rPr>
        <w:t>四</w:t>
      </w:r>
      <w:r>
        <w:rPr>
          <w:rFonts w:hint="default"/>
        </w:rPr>
        <w:t>章</w:t>
      </w:r>
      <w:r>
        <w:rPr>
          <w:rFonts w:hint="default"/>
          <w:lang w:val="en-US" w:eastAsia="zh-CN"/>
        </w:rPr>
        <w:t xml:space="preserve"> </w:t>
      </w:r>
      <w:r>
        <w:rPr>
          <w:rFonts w:hint="default"/>
        </w:rPr>
        <w:t>应急响应</w:t>
      </w:r>
      <w:bookmarkEnd w:id="35"/>
      <w:bookmarkEnd w:id="36"/>
    </w:p>
    <w:p w14:paraId="66F09614">
      <w:pPr>
        <w:pStyle w:val="3"/>
        <w:bidi w:val="0"/>
        <w:rPr>
          <w:rFonts w:hint="default"/>
        </w:rPr>
      </w:pPr>
      <w:bookmarkStart w:id="37" w:name="_Toc12848"/>
      <w:bookmarkStart w:id="38" w:name="_Toc10"/>
      <w:r>
        <w:rPr>
          <w:rFonts w:hint="default"/>
        </w:rPr>
        <w:t>4.1 预防</w:t>
      </w:r>
      <w:bookmarkEnd w:id="37"/>
      <w:bookmarkEnd w:id="38"/>
      <w:r>
        <w:rPr>
          <w:rFonts w:hint="default"/>
        </w:rPr>
        <w:t xml:space="preserve"> </w:t>
      </w:r>
    </w:p>
    <w:p w14:paraId="2DCE808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预防工作应当坚持着眼于应对当前、考虑长远的原则，加快实施对</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饮用水水源地突发性污染的有效控制和生态修复，改善饮用水水源地周边环境状况，确保水质安全。</w:t>
      </w:r>
    </w:p>
    <w:p w14:paraId="2E03832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）把保证</w:t>
      </w:r>
      <w:r>
        <w:rPr>
          <w:rFonts w:hint="eastAsia" w:cs="Times New Roman"/>
          <w:sz w:val="28"/>
          <w:szCs w:val="28"/>
          <w:lang w:eastAsia="zh-CN"/>
        </w:rPr>
        <w:t>汾阳市10处乡镇集中式饮用水水源地</w:t>
      </w:r>
      <w:r>
        <w:rPr>
          <w:rFonts w:hint="default" w:ascii="Times New Roman" w:hAnsi="Times New Roman" w:eastAsia="仿宋" w:cs="Times New Roman"/>
          <w:sz w:val="28"/>
          <w:szCs w:val="28"/>
        </w:rPr>
        <w:t xml:space="preserve">水质安全的工作落实在日常管理之中，水源管理部门应加强基础工作和完善网络建设，提高防范意识，做好应对可能产生的危机事件的各项准备工作； </w:t>
      </w:r>
    </w:p>
    <w:p w14:paraId="7940AEC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w:t>
      </w:r>
      <w:r>
        <w:rPr>
          <w:rFonts w:hint="eastAsia" w:ascii="Times New Roman" w:hAnsi="Times New Roman" w:cs="Times New Roman"/>
          <w:sz w:val="28"/>
          <w:szCs w:val="28"/>
          <w:lang w:val="en-US" w:eastAsia="zh-CN"/>
        </w:rPr>
        <w:t>提</w:t>
      </w:r>
      <w:r>
        <w:rPr>
          <w:rFonts w:hint="default" w:ascii="Times New Roman" w:hAnsi="Times New Roman" w:eastAsia="仿宋" w:cs="Times New Roman"/>
          <w:sz w:val="28"/>
          <w:szCs w:val="28"/>
        </w:rPr>
        <w:t>请</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及</w:t>
      </w:r>
      <w:r>
        <w:rPr>
          <w:rFonts w:hint="eastAsia" w:cs="Times New Roman"/>
          <w:sz w:val="28"/>
          <w:szCs w:val="28"/>
          <w:lang w:eastAsia="zh-CN"/>
        </w:rPr>
        <w:t>相关部门</w:t>
      </w:r>
      <w:r>
        <w:rPr>
          <w:rFonts w:hint="default" w:ascii="Times New Roman" w:hAnsi="Times New Roman" w:eastAsia="仿宋" w:cs="Times New Roman"/>
          <w:sz w:val="28"/>
          <w:szCs w:val="28"/>
        </w:rPr>
        <w:t>联合组建饮用水水源地突发环境事件预警信息监控网络，通过在各可能发生环境污染或安全事件的地点安装监控系统，实时掌握水源地周边环境现状，利用地理信息系统等先进的手段切实做好信息监测与报告工作；</w:t>
      </w:r>
    </w:p>
    <w:p w14:paraId="151833D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及</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应摸清饮用水水源地水资源供给条件、水环境状况以及管理保护措施等现状，制定有效措施，切实加强饮用水水源地保护工作； </w:t>
      </w:r>
    </w:p>
    <w:p w14:paraId="3300E60B">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及</w:t>
      </w:r>
      <w:r>
        <w:rPr>
          <w:rFonts w:hint="eastAsia" w:cs="Times New Roman"/>
          <w:sz w:val="28"/>
          <w:szCs w:val="28"/>
          <w:lang w:eastAsia="zh-CN"/>
        </w:rPr>
        <w:t>相关部门</w:t>
      </w:r>
      <w:r>
        <w:rPr>
          <w:rFonts w:hint="default" w:ascii="Times New Roman" w:hAnsi="Times New Roman" w:eastAsia="仿宋" w:cs="Times New Roman"/>
          <w:sz w:val="28"/>
          <w:szCs w:val="28"/>
        </w:rPr>
        <w:t>开展饮用水水源地突发环境事件的假设、分析和风险评估工作，组织开展应急演练；</w:t>
      </w:r>
    </w:p>
    <w:p w14:paraId="178DB563">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）加强</w:t>
      </w:r>
      <w:r>
        <w:rPr>
          <w:rFonts w:hint="eastAsia" w:cs="Times New Roman"/>
          <w:sz w:val="28"/>
          <w:szCs w:val="28"/>
          <w:lang w:eastAsia="zh-CN"/>
        </w:rPr>
        <w:t>汾阳市10处乡镇集中式饮用水水源地</w:t>
      </w:r>
      <w:r>
        <w:rPr>
          <w:rFonts w:hint="default" w:ascii="Times New Roman" w:hAnsi="Times New Roman" w:eastAsia="仿宋" w:cs="Times New Roman"/>
          <w:sz w:val="28"/>
          <w:szCs w:val="28"/>
        </w:rPr>
        <w:t>一级</w:t>
      </w:r>
      <w:r>
        <w:rPr>
          <w:rFonts w:hint="eastAsia" w:ascii="Times New Roman" w:hAnsi="Times New Roman" w:cs="Times New Roman"/>
          <w:sz w:val="28"/>
          <w:szCs w:val="28"/>
          <w:lang w:val="en-US" w:eastAsia="zh-CN"/>
        </w:rPr>
        <w:t>保护区</w:t>
      </w:r>
      <w:r>
        <w:rPr>
          <w:rFonts w:hint="default" w:ascii="Times New Roman" w:hAnsi="Times New Roman" w:eastAsia="仿宋" w:cs="Times New Roman"/>
          <w:sz w:val="28"/>
          <w:szCs w:val="28"/>
        </w:rPr>
        <w:t>内的风险源等监督检查，避免新增，必要时上报</w:t>
      </w:r>
      <w:r>
        <w:rPr>
          <w:rFonts w:hint="eastAsia" w:cs="Times New Roman"/>
          <w:sz w:val="28"/>
          <w:szCs w:val="28"/>
          <w:lang w:eastAsia="zh-CN"/>
        </w:rPr>
        <w:t>汾阳市人民政府</w:t>
      </w:r>
      <w:r>
        <w:rPr>
          <w:rFonts w:hint="default" w:ascii="Times New Roman" w:hAnsi="Times New Roman" w:eastAsia="仿宋" w:cs="Times New Roman"/>
          <w:sz w:val="28"/>
          <w:szCs w:val="28"/>
        </w:rPr>
        <w:t>，由政府采取停产手段，减少污染物排放，对查实的违法行为从严从重处理；</w:t>
      </w:r>
    </w:p>
    <w:p w14:paraId="10C4748D">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分局监管并控制</w:t>
      </w:r>
      <w:r>
        <w:rPr>
          <w:rFonts w:hint="eastAsia" w:cs="Times New Roman"/>
          <w:sz w:val="28"/>
          <w:szCs w:val="28"/>
          <w:lang w:eastAsia="zh-CN"/>
        </w:rPr>
        <w:t>汾阳市10处乡镇集中式饮用水水源地</w:t>
      </w:r>
      <w:r>
        <w:rPr>
          <w:rFonts w:hint="default" w:ascii="Times New Roman" w:hAnsi="Times New Roman" w:eastAsia="仿宋" w:cs="Times New Roman"/>
          <w:sz w:val="28"/>
          <w:szCs w:val="28"/>
        </w:rPr>
        <w:t xml:space="preserve">保护区内的各种污染活动，治理可能导致保护区内水体污染的排污行为； </w:t>
      </w:r>
    </w:p>
    <w:p w14:paraId="141B12B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 xml:space="preserve">）开展饮用水水源地突发环境事件的风险评估，建立环境风险源档案和环境应急物资库。 </w:t>
      </w:r>
    </w:p>
    <w:p w14:paraId="3B118C15">
      <w:pPr>
        <w:pStyle w:val="3"/>
        <w:bidi w:val="0"/>
        <w:rPr>
          <w:rFonts w:hint="default"/>
        </w:rPr>
      </w:pPr>
      <w:bookmarkStart w:id="39" w:name="_Toc4562"/>
      <w:bookmarkStart w:id="40" w:name="_Toc27082"/>
      <w:r>
        <w:rPr>
          <w:rFonts w:hint="default"/>
          <w:lang w:val="en-US" w:eastAsia="zh-CN"/>
        </w:rPr>
        <w:t>4.2</w:t>
      </w:r>
      <w:r>
        <w:rPr>
          <w:rFonts w:hint="default"/>
        </w:rPr>
        <w:t>应急响应工作路线</w:t>
      </w:r>
      <w:bookmarkEnd w:id="39"/>
      <w:bookmarkEnd w:id="40"/>
    </w:p>
    <w:p w14:paraId="0DB4E3F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应急响应包括信息收集和研判、预警、信息报告与通报、事态研判、分级响应、应急监测、污染源排查与处置、应急处置、物资调集及应急设施启用、舆情监测与信息发布、响应终止等工作内容。</w:t>
      </w:r>
    </w:p>
    <w:p w14:paraId="286387C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w:t>
      </w:r>
      <w:r>
        <w:rPr>
          <w:rFonts w:hint="default" w:ascii="Times New Roman" w:hAnsi="Times New Roman" w:eastAsia="仿宋" w:cs="Times New Roman"/>
          <w:sz w:val="28"/>
          <w:szCs w:val="28"/>
        </w:rPr>
        <w:t>应急响应工作线路图见图4-1。</w:t>
      </w:r>
    </w:p>
    <w:p w14:paraId="468FD074">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114300" distR="114300">
            <wp:extent cx="5010150" cy="6305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rcRect r="5720"/>
                    <a:stretch>
                      <a:fillRect/>
                    </a:stretch>
                  </pic:blipFill>
                  <pic:spPr>
                    <a:xfrm>
                      <a:off x="0" y="0"/>
                      <a:ext cx="5010150" cy="6305550"/>
                    </a:xfrm>
                    <a:prstGeom prst="rect">
                      <a:avLst/>
                    </a:prstGeom>
                    <a:noFill/>
                    <a:ln>
                      <a:noFill/>
                    </a:ln>
                  </pic:spPr>
                </pic:pic>
              </a:graphicData>
            </a:graphic>
          </wp:inline>
        </w:drawing>
      </w:r>
    </w:p>
    <w:p w14:paraId="51BAA51B">
      <w:pPr>
        <w:keepNext w:val="0"/>
        <w:keepLines w:val="0"/>
        <w:pageBreakBefore w:val="0"/>
        <w:widowControl w:val="0"/>
        <w:kinsoku/>
        <w:wordWrap/>
        <w:overflowPunct/>
        <w:topLinePunct w:val="0"/>
        <w:autoSpaceDE/>
        <w:autoSpaceDN/>
        <w:bidi w:val="0"/>
        <w:adjustRightInd/>
        <w:snapToGrid/>
        <w:spacing w:after="0" w:line="240" w:lineRule="auto"/>
        <w:ind w:left="-560" w:leftChars="-200" w:right="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图4-1水源地应急响应工作线路图</w:t>
      </w:r>
    </w:p>
    <w:p w14:paraId="0FFE3D78">
      <w:pPr>
        <w:pStyle w:val="3"/>
        <w:bidi w:val="0"/>
        <w:rPr>
          <w:rFonts w:hint="default"/>
        </w:rPr>
      </w:pPr>
      <w:bookmarkStart w:id="41" w:name="_Toc27878"/>
      <w:bookmarkStart w:id="42" w:name="_Toc17503"/>
      <w:r>
        <w:rPr>
          <w:rFonts w:hint="default"/>
          <w:lang w:val="en-US" w:eastAsia="zh-CN"/>
        </w:rPr>
        <w:t>4.3</w:t>
      </w:r>
      <w:r>
        <w:rPr>
          <w:rFonts w:hint="default"/>
        </w:rPr>
        <w:t>信息收集和研判</w:t>
      </w:r>
      <w:bookmarkEnd w:id="41"/>
      <w:bookmarkEnd w:id="42"/>
      <w:r>
        <w:rPr>
          <w:rFonts w:hint="default"/>
        </w:rPr>
        <w:t xml:space="preserve"> </w:t>
      </w:r>
    </w:p>
    <w:p w14:paraId="361C57EE">
      <w:pPr>
        <w:pStyle w:val="4"/>
        <w:bidi w:val="0"/>
        <w:rPr>
          <w:rFonts w:hint="default"/>
        </w:rPr>
      </w:pPr>
      <w:bookmarkStart w:id="43" w:name="_Toc24263"/>
      <w:r>
        <w:rPr>
          <w:rFonts w:hint="default"/>
        </w:rPr>
        <w:t>4.3.1 信息收集</w:t>
      </w:r>
      <w:bookmarkEnd w:id="43"/>
      <w:r>
        <w:rPr>
          <w:rFonts w:hint="default"/>
        </w:rPr>
        <w:t xml:space="preserve"> </w:t>
      </w:r>
    </w:p>
    <w:p w14:paraId="203DD28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按照“早发现、早报告、早处置”的原则，</w:t>
      </w:r>
      <w:r>
        <w:rPr>
          <w:rFonts w:hint="eastAsia" w:cs="Times New Roman"/>
          <w:sz w:val="28"/>
          <w:szCs w:val="28"/>
          <w:lang w:eastAsia="zh-CN"/>
        </w:rPr>
        <w:t>汾阳市人民政府</w:t>
      </w:r>
      <w:r>
        <w:rPr>
          <w:rFonts w:hint="default" w:ascii="Times New Roman" w:hAnsi="Times New Roman" w:eastAsia="仿宋" w:cs="Times New Roman"/>
          <w:sz w:val="28"/>
          <w:szCs w:val="28"/>
        </w:rPr>
        <w:t xml:space="preserve">与各部门之间、上下游相邻区域政府之间建立信息收集与共享渠道，收集信息。信息收集方式包括如下方式： </w:t>
      </w:r>
    </w:p>
    <w:p w14:paraId="5FA94EC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农业农村</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汾阳市</w:t>
      </w:r>
      <w:r>
        <w:rPr>
          <w:rFonts w:hint="default" w:ascii="Times New Roman" w:hAnsi="Times New Roman" w:eastAsia="仿宋" w:cs="Times New Roman"/>
          <w:sz w:val="28"/>
          <w:szCs w:val="28"/>
        </w:rPr>
        <w:t>水利局、</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lang w:val="en-US" w:eastAsia="zh-CN"/>
        </w:rPr>
        <w:t>自来水公司</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应急管理局等部门通过水源地水质监督性监测与在线监测等日常监管渠道获取水质变化信息，也可以通过收集水文气象、地形地貌、污染排放、防护措施等信息开展水质快速预测预警，获取水质预警信息。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分局可通过水源地主要风险源监控获取固定源异常排放的信息，也可通过123</w:t>
      </w:r>
      <w:r>
        <w:rPr>
          <w:rFonts w:hint="eastAsia" w:ascii="Times New Roman" w:hAnsi="Times New Roman" w:eastAsia="仿宋" w:cs="Times New Roman"/>
          <w:sz w:val="28"/>
          <w:szCs w:val="28"/>
          <w:lang w:val="en-US" w:eastAsia="zh-CN"/>
        </w:rPr>
        <w:t>45</w:t>
      </w:r>
      <w:r>
        <w:rPr>
          <w:rFonts w:hint="default" w:ascii="Times New Roman" w:hAnsi="Times New Roman" w:eastAsia="仿宋" w:cs="Times New Roman"/>
          <w:sz w:val="28"/>
          <w:szCs w:val="28"/>
        </w:rPr>
        <w:t xml:space="preserve">热线获取突发环境事件信息。 </w:t>
      </w:r>
    </w:p>
    <w:p w14:paraId="5B6FAF9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公安局、</w:t>
      </w:r>
      <w:r>
        <w:rPr>
          <w:rFonts w:hint="eastAsia" w:ascii="Times New Roman" w:hAnsi="Times New Roman" w:cs="Times New Roman"/>
          <w:sz w:val="28"/>
          <w:szCs w:val="28"/>
          <w:lang w:eastAsia="zh-CN"/>
        </w:rPr>
        <w:t>汾阳市</w:t>
      </w:r>
      <w:r>
        <w:rPr>
          <w:rFonts w:hint="eastAsia" w:cs="Times New Roman"/>
          <w:sz w:val="28"/>
          <w:szCs w:val="28"/>
          <w:lang w:val="en-US" w:eastAsia="zh-CN"/>
        </w:rPr>
        <w:t>交通运输局、汾阳市</w:t>
      </w:r>
      <w:r>
        <w:rPr>
          <w:rFonts w:hint="default" w:ascii="Times New Roman" w:hAnsi="Times New Roman" w:eastAsia="仿宋" w:cs="Times New Roman"/>
          <w:sz w:val="28"/>
          <w:szCs w:val="28"/>
          <w:lang w:eastAsia="zh-CN"/>
        </w:rPr>
        <w:t>交通运输局</w:t>
      </w:r>
      <w:r>
        <w:rPr>
          <w:rFonts w:hint="default" w:ascii="Times New Roman" w:hAnsi="Times New Roman" w:eastAsia="仿宋" w:cs="Times New Roman"/>
          <w:sz w:val="28"/>
          <w:szCs w:val="28"/>
        </w:rPr>
        <w:t>通过车辆事故报警获取流动源事故信息，也可通过110报警电话获取突发环境事件信息。</w:t>
      </w:r>
    </w:p>
    <w:p w14:paraId="64C179D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企事业、养殖业等单位发生事故或者其他突发性事件，造成或者可能造成水污染事件的，应当立即启动本单位的应急方案，采取应急措施，并向</w:t>
      </w:r>
      <w:r>
        <w:rPr>
          <w:rFonts w:hint="eastAsia" w:cs="Times New Roman"/>
          <w:sz w:val="28"/>
          <w:szCs w:val="28"/>
          <w:lang w:eastAsia="zh-CN"/>
        </w:rPr>
        <w:t>汾阳市人民政府</w:t>
      </w:r>
      <w:r>
        <w:rPr>
          <w:rFonts w:hint="default" w:ascii="Times New Roman" w:hAnsi="Times New Roman" w:eastAsia="仿宋" w:cs="Times New Roman"/>
          <w:sz w:val="28"/>
          <w:szCs w:val="28"/>
        </w:rPr>
        <w:t>或者</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分局报告。饮用水水源地周边区域群众一旦发现突发性水污染事件时，有义务向</w:t>
      </w:r>
      <w:r>
        <w:rPr>
          <w:rFonts w:hint="eastAsia" w:cs="Times New Roman"/>
          <w:sz w:val="28"/>
          <w:szCs w:val="28"/>
          <w:lang w:eastAsia="zh-CN"/>
        </w:rPr>
        <w:t>汾阳市人民政府</w:t>
      </w:r>
      <w:r>
        <w:rPr>
          <w:rFonts w:hint="default" w:ascii="Times New Roman" w:hAnsi="Times New Roman" w:eastAsia="仿宋" w:cs="Times New Roman"/>
          <w:sz w:val="28"/>
          <w:szCs w:val="28"/>
        </w:rPr>
        <w:t>或者</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分局报告，或者向“110”、“123</w:t>
      </w:r>
      <w:r>
        <w:rPr>
          <w:rFonts w:hint="eastAsia" w:ascii="Times New Roman" w:hAnsi="Times New Roman" w:eastAsia="仿宋" w:cs="Times New Roman"/>
          <w:sz w:val="28"/>
          <w:szCs w:val="28"/>
          <w:lang w:val="en-US" w:eastAsia="zh-CN"/>
        </w:rPr>
        <w:t>45</w:t>
      </w:r>
      <w:r>
        <w:rPr>
          <w:rFonts w:hint="default" w:ascii="Times New Roman" w:hAnsi="Times New Roman" w:eastAsia="仿宋" w:cs="Times New Roman"/>
          <w:sz w:val="28"/>
          <w:szCs w:val="28"/>
        </w:rPr>
        <w:t>”报警。</w:t>
      </w:r>
    </w:p>
    <w:p w14:paraId="4EAF1A71">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lang w:eastAsia="zh-CN"/>
        </w:rPr>
        <w:t>农业农村</w:t>
      </w:r>
      <w:r>
        <w:rPr>
          <w:rFonts w:hint="eastAsia" w:cs="Times New Roman"/>
          <w:sz w:val="28"/>
          <w:szCs w:val="28"/>
          <w:lang w:val="en-US" w:eastAsia="zh-CN"/>
        </w:rPr>
        <w:t>局、汾阳市</w:t>
      </w:r>
      <w:r>
        <w:rPr>
          <w:rFonts w:hint="default" w:ascii="Times New Roman" w:hAnsi="Times New Roman" w:eastAsia="仿宋" w:cs="Times New Roman"/>
          <w:sz w:val="28"/>
          <w:szCs w:val="28"/>
          <w:lang w:eastAsia="zh-CN"/>
        </w:rPr>
        <w:t>水利局</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自来水公司、</w:t>
      </w:r>
      <w:r>
        <w:rPr>
          <w:rFonts w:hint="eastAsia" w:ascii="Times New Roman" w:hAnsi="Times New Roman" w:cs="Times New Roman"/>
          <w:sz w:val="28"/>
          <w:szCs w:val="28"/>
          <w:lang w:eastAsia="zh-CN"/>
        </w:rPr>
        <w:t>汾阳市</w:t>
      </w:r>
      <w:r>
        <w:rPr>
          <w:rFonts w:hint="eastAsia" w:cs="Times New Roman"/>
          <w:sz w:val="28"/>
          <w:szCs w:val="28"/>
          <w:lang w:val="en-US" w:eastAsia="zh-CN"/>
        </w:rPr>
        <w:t>住房和</w:t>
      </w:r>
      <w:r>
        <w:rPr>
          <w:rFonts w:hint="default" w:ascii="Times New Roman" w:hAnsi="Times New Roman" w:eastAsia="仿宋" w:cs="Times New Roman"/>
          <w:sz w:val="28"/>
          <w:szCs w:val="28"/>
          <w:lang w:eastAsia="zh-CN"/>
        </w:rPr>
        <w:t>城乡建设</w:t>
      </w:r>
      <w:r>
        <w:rPr>
          <w:rFonts w:hint="eastAsia" w:cs="Times New Roman"/>
          <w:sz w:val="28"/>
          <w:szCs w:val="28"/>
          <w:lang w:val="en-US" w:eastAsia="zh-CN"/>
        </w:rPr>
        <w:t>局、汾阳市</w:t>
      </w:r>
      <w:r>
        <w:rPr>
          <w:rFonts w:hint="default" w:ascii="Times New Roman" w:hAnsi="Times New Roman" w:eastAsia="仿宋" w:cs="Times New Roman"/>
          <w:sz w:val="28"/>
          <w:szCs w:val="28"/>
          <w:lang w:eastAsia="zh-CN"/>
        </w:rPr>
        <w:t>交通运输局</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公安局、</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应急管理局、</w:t>
      </w:r>
      <w:r>
        <w:rPr>
          <w:rFonts w:hint="eastAsia" w:cs="Times New Roman"/>
          <w:sz w:val="28"/>
          <w:szCs w:val="28"/>
          <w:lang w:val="en-US" w:eastAsia="zh-CN"/>
        </w:rPr>
        <w:t>各</w:t>
      </w:r>
      <w:r>
        <w:rPr>
          <w:rFonts w:hint="default" w:ascii="Times New Roman" w:hAnsi="Times New Roman" w:eastAsia="仿宋" w:cs="Times New Roman"/>
          <w:sz w:val="28"/>
          <w:szCs w:val="28"/>
        </w:rPr>
        <w:t>乡镇人民政府等部门按照各自职责收集和传递水源地突发环境事件的信息，并及时将相关信息报告</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及其办公室。 </w:t>
      </w:r>
    </w:p>
    <w:p w14:paraId="0CF15886">
      <w:pPr>
        <w:pStyle w:val="4"/>
        <w:bidi w:val="0"/>
        <w:rPr>
          <w:rFonts w:hint="default"/>
          <w:lang w:val="en-US" w:eastAsia="zh-CN"/>
        </w:rPr>
      </w:pPr>
      <w:bookmarkStart w:id="44" w:name="_Toc27831"/>
      <w:r>
        <w:rPr>
          <w:rFonts w:hint="default"/>
          <w:lang w:val="en-US" w:eastAsia="zh-CN"/>
        </w:rPr>
        <w:t>4.3.2 信息初次研判</w:t>
      </w:r>
      <w:bookmarkEnd w:id="44"/>
      <w:r>
        <w:rPr>
          <w:rFonts w:hint="default"/>
          <w:lang w:val="en-US" w:eastAsia="zh-CN"/>
        </w:rPr>
        <w:t xml:space="preserve"> </w:t>
      </w:r>
    </w:p>
    <w:p w14:paraId="38E39FC1">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办公室负责信息核实和研判工作，当获取到突发事件信息时，应第一时间开展以下工作： </w:t>
      </w:r>
    </w:p>
    <w:p w14:paraId="17C9671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）核实信息的真实性； </w:t>
      </w:r>
    </w:p>
    <w:p w14:paraId="0566975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）进一步收集信息，</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可共同开展信息收集工作； </w:t>
      </w:r>
    </w:p>
    <w:p w14:paraId="206F46B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）及时报告</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 </w:t>
      </w:r>
    </w:p>
    <w:p w14:paraId="4626ECC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组织</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和专业技术人员及专家进行会商，研判水质变化趋势，若判断可能对水源地水质造成影响，指挥部应立即转换为现场应急指挥部。 </w:t>
      </w:r>
    </w:p>
    <w:p w14:paraId="53731FA3">
      <w:pPr>
        <w:pStyle w:val="3"/>
        <w:bidi w:val="0"/>
        <w:rPr>
          <w:rFonts w:hint="default"/>
          <w:lang w:val="en-US" w:eastAsia="zh-CN"/>
        </w:rPr>
      </w:pPr>
      <w:bookmarkStart w:id="45" w:name="_Toc7351"/>
      <w:bookmarkStart w:id="46" w:name="_Toc22679"/>
      <w:r>
        <w:rPr>
          <w:rFonts w:hint="default"/>
          <w:lang w:val="en-US" w:eastAsia="zh-CN"/>
        </w:rPr>
        <w:t>4.4 发布预警和预警行动</w:t>
      </w:r>
      <w:bookmarkEnd w:id="45"/>
      <w:bookmarkEnd w:id="46"/>
      <w:r>
        <w:rPr>
          <w:rFonts w:hint="default"/>
          <w:lang w:val="en-US" w:eastAsia="zh-CN"/>
        </w:rPr>
        <w:t xml:space="preserve"> </w:t>
      </w:r>
    </w:p>
    <w:p w14:paraId="4AC349B3">
      <w:pPr>
        <w:pStyle w:val="4"/>
        <w:bidi w:val="0"/>
        <w:rPr>
          <w:rFonts w:hint="default"/>
        </w:rPr>
      </w:pPr>
      <w:bookmarkStart w:id="47" w:name="_Toc21144"/>
      <w:r>
        <w:rPr>
          <w:rFonts w:hint="default"/>
        </w:rPr>
        <w:t>4.4.1 预警分级</w:t>
      </w:r>
      <w:bookmarkEnd w:id="47"/>
      <w:r>
        <w:rPr>
          <w:rFonts w:hint="default"/>
        </w:rPr>
        <w:t xml:space="preserve"> </w:t>
      </w:r>
    </w:p>
    <w:p w14:paraId="22B04EA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饮用水水源地突发环境事件的污染物危害性、事态的紧急程度、采取的响应措施以及对取水可能造成的影响等实际情况，集中式饮用水源突发环境事件的预警分为黄色、橙色、红色。根据事态的发展情况和采取措施的效果，预警颜色可以升级、降级或解除。</w:t>
      </w:r>
    </w:p>
    <w:p w14:paraId="573DF29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当发布突发环境事件预警的人民政府调整预警级别并重新发布时，应急指挥办公室应同时调整相应的预警级别。预警信息的发布、调整和解除可通过广播、电视、报刊、通信、信息网络、报警器、宣传车或组织人员通知住户等方式进行，对老、幼、病、残、孕等特殊人群和警报自区应当采取有针对性的公告方式。</w:t>
      </w:r>
    </w:p>
    <w:p w14:paraId="5EA6273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rPr>
        <w:t>黄色</w:t>
      </w:r>
      <w:r>
        <w:rPr>
          <w:rFonts w:hint="eastAsia" w:cs="Times New Roman"/>
          <w:sz w:val="28"/>
          <w:szCs w:val="28"/>
          <w:lang w:eastAsia="zh-CN"/>
        </w:rPr>
        <w:t>（</w:t>
      </w:r>
      <w:r>
        <w:rPr>
          <w:rFonts w:hint="default" w:ascii="Times New Roman" w:hAnsi="Times New Roman" w:eastAsia="仿宋" w:cs="Times New Roman"/>
          <w:sz w:val="28"/>
          <w:szCs w:val="28"/>
        </w:rPr>
        <w:t>Ⅲ级</w:t>
      </w:r>
      <w:r>
        <w:rPr>
          <w:rFonts w:hint="eastAsia" w:cs="Times New Roman"/>
          <w:sz w:val="28"/>
          <w:szCs w:val="28"/>
          <w:lang w:eastAsia="zh-CN"/>
        </w:rPr>
        <w:t>）</w:t>
      </w:r>
      <w:r>
        <w:rPr>
          <w:rFonts w:hint="default" w:ascii="Times New Roman" w:hAnsi="Times New Roman" w:eastAsia="仿宋" w:cs="Times New Roman"/>
          <w:sz w:val="28"/>
          <w:szCs w:val="28"/>
        </w:rPr>
        <w:t>预警</w:t>
      </w:r>
      <w:r>
        <w:rPr>
          <w:rFonts w:hint="eastAsia" w:cs="Times New Roman"/>
          <w:sz w:val="28"/>
          <w:szCs w:val="28"/>
          <w:lang w:eastAsia="zh-CN"/>
        </w:rPr>
        <w:t>：</w:t>
      </w:r>
      <w:r>
        <w:rPr>
          <w:rFonts w:hint="eastAsia" w:cs="Times New Roman"/>
          <w:sz w:val="28"/>
          <w:szCs w:val="28"/>
          <w:lang w:val="en-US" w:eastAsia="zh-CN"/>
        </w:rPr>
        <w:t>存在重大环境安全隐患，可能发生或者引发突发环境事件的；或事件已经发生，可能进一步扩大影响范围，可能对饮用水源保护区造成影响。</w:t>
      </w:r>
    </w:p>
    <w:p w14:paraId="516DD518">
      <w:pPr>
        <w:bidi w:val="0"/>
        <w:rPr>
          <w:rFonts w:hint="default"/>
        </w:rPr>
      </w:pPr>
      <w:r>
        <w:rPr>
          <w:rFonts w:hint="default"/>
        </w:rPr>
        <w:t>橙色</w:t>
      </w:r>
      <w:r>
        <w:rPr>
          <w:rFonts w:hint="eastAsia"/>
          <w:lang w:eastAsia="zh-CN"/>
        </w:rPr>
        <w:t>（</w:t>
      </w:r>
      <w:r>
        <w:rPr>
          <w:rFonts w:hint="default" w:ascii="Times New Roman" w:hAnsi="Times New Roman" w:cs="Times New Roman"/>
          <w:lang w:val="en-US" w:eastAsia="zh-CN"/>
        </w:rPr>
        <w:t>Ⅱ</w:t>
      </w:r>
      <w:r>
        <w:rPr>
          <w:rFonts w:hint="default"/>
        </w:rPr>
        <w:t>级</w:t>
      </w:r>
      <w:r>
        <w:rPr>
          <w:rFonts w:hint="eastAsia"/>
          <w:lang w:eastAsia="zh-CN"/>
        </w:rPr>
        <w:t>）</w:t>
      </w:r>
      <w:r>
        <w:rPr>
          <w:rFonts w:hint="default"/>
        </w:rPr>
        <w:t>预警</w:t>
      </w:r>
      <w:r>
        <w:rPr>
          <w:rFonts w:hint="eastAsia"/>
          <w:lang w:eastAsia="zh-CN"/>
        </w:rPr>
        <w:t>：</w:t>
      </w:r>
      <w:r>
        <w:rPr>
          <w:rFonts w:hint="default"/>
        </w:rPr>
        <w:t>情况紧急，可能发生重大突发环境事件或事件已经发生，产生的环境污染</w:t>
      </w:r>
      <w:r>
        <w:rPr>
          <w:rFonts w:hint="eastAsia"/>
          <w:lang w:val="en-US" w:eastAsia="zh-CN"/>
        </w:rPr>
        <w:t>可能</w:t>
      </w:r>
      <w:r>
        <w:rPr>
          <w:rFonts w:hint="default"/>
        </w:rPr>
        <w:t>造成</w:t>
      </w:r>
      <w:r>
        <w:rPr>
          <w:rFonts w:hint="default" w:ascii="Times New Roman" w:hAnsi="Times New Roman" w:eastAsia="仿宋" w:cs="Times New Roman"/>
          <w:sz w:val="28"/>
          <w:szCs w:val="28"/>
        </w:rPr>
        <w:t>乡镇集中式饮用水水源地</w:t>
      </w:r>
      <w:r>
        <w:rPr>
          <w:rFonts w:hint="eastAsia" w:cs="Times New Roman"/>
          <w:sz w:val="28"/>
          <w:szCs w:val="28"/>
          <w:lang w:val="en-US" w:eastAsia="zh-CN"/>
        </w:rPr>
        <w:t>取水中断的</w:t>
      </w:r>
      <w:r>
        <w:rPr>
          <w:rFonts w:hint="default"/>
        </w:rPr>
        <w:t>。</w:t>
      </w:r>
    </w:p>
    <w:p w14:paraId="0A45BDD0">
      <w:pPr>
        <w:bidi w:val="0"/>
        <w:rPr>
          <w:rFonts w:hint="default" w:ascii="Times New Roman" w:hAnsi="Times New Roman" w:eastAsia="仿宋" w:cs="Times New Roman"/>
          <w:sz w:val="28"/>
          <w:szCs w:val="28"/>
        </w:rPr>
      </w:pPr>
      <w:r>
        <w:rPr>
          <w:rFonts w:hint="default"/>
        </w:rPr>
        <w:t>红色</w:t>
      </w:r>
      <w:r>
        <w:rPr>
          <w:rFonts w:hint="eastAsia"/>
          <w:lang w:eastAsia="zh-CN"/>
        </w:rPr>
        <w:t>（</w:t>
      </w:r>
      <w:r>
        <w:rPr>
          <w:rFonts w:hint="default"/>
        </w:rPr>
        <w:t>I级</w:t>
      </w:r>
      <w:r>
        <w:rPr>
          <w:rFonts w:hint="eastAsia"/>
          <w:lang w:eastAsia="zh-CN"/>
        </w:rPr>
        <w:t>）</w:t>
      </w:r>
      <w:r>
        <w:rPr>
          <w:rFonts w:hint="default"/>
        </w:rPr>
        <w:t>预警</w:t>
      </w:r>
      <w:r>
        <w:rPr>
          <w:rFonts w:hint="eastAsia"/>
          <w:lang w:eastAsia="zh-CN"/>
        </w:rPr>
        <w:t>：</w:t>
      </w:r>
      <w:r>
        <w:rPr>
          <w:rFonts w:hint="default" w:ascii="Times New Roman" w:hAnsi="Times New Roman" w:eastAsia="仿宋" w:cs="Times New Roman"/>
          <w:sz w:val="28"/>
          <w:szCs w:val="28"/>
        </w:rPr>
        <w:t>情况</w:t>
      </w:r>
      <w:r>
        <w:rPr>
          <w:rFonts w:hint="eastAsia" w:cs="Times New Roman"/>
          <w:sz w:val="28"/>
          <w:szCs w:val="28"/>
          <w:lang w:val="en-US" w:eastAsia="zh-CN"/>
        </w:rPr>
        <w:t>危急</w:t>
      </w:r>
      <w:r>
        <w:rPr>
          <w:rFonts w:hint="default" w:ascii="Times New Roman" w:hAnsi="Times New Roman" w:eastAsia="仿宋" w:cs="Times New Roman"/>
          <w:sz w:val="28"/>
          <w:szCs w:val="28"/>
        </w:rPr>
        <w:t>，可能发生或引发较大突发环境事件或事件已经发生，产生的环境污染造成乡镇集中式饮用水水源地取水中断的。</w:t>
      </w:r>
    </w:p>
    <w:p w14:paraId="0480651B">
      <w:pPr>
        <w:bidi w:val="0"/>
        <w:rPr>
          <w:rFonts w:hint="default"/>
        </w:rPr>
      </w:pPr>
      <w:r>
        <w:rPr>
          <w:rFonts w:hint="default"/>
        </w:rPr>
        <w:t>加强对突发环境事件相关信息监控监测，当可以预警的突发环境事件即将发生或者发生的可能性增大时，做好电视、广播、互联网、手机短信等信息发布，及时按照有关规定向社会发布避免、减轻突发环境事件危害的应急措施，个人防护方法。</w:t>
      </w:r>
    </w:p>
    <w:p w14:paraId="65F04CFF">
      <w:pPr>
        <w:pStyle w:val="4"/>
        <w:bidi w:val="0"/>
        <w:rPr>
          <w:rFonts w:hint="default"/>
        </w:rPr>
      </w:pPr>
      <w:bookmarkStart w:id="48" w:name="_Toc28583"/>
      <w:r>
        <w:rPr>
          <w:rFonts w:hint="default"/>
        </w:rPr>
        <w:t>4.4.</w:t>
      </w:r>
      <w:r>
        <w:rPr>
          <w:rFonts w:hint="default"/>
          <w:lang w:val="en-US" w:eastAsia="zh-CN"/>
        </w:rPr>
        <w:t>2</w:t>
      </w:r>
      <w:r>
        <w:rPr>
          <w:rFonts w:hint="default"/>
        </w:rPr>
        <w:t xml:space="preserve"> 发布预警和预警级别调整</w:t>
      </w:r>
      <w:bookmarkEnd w:id="48"/>
      <w:r>
        <w:rPr>
          <w:rFonts w:hint="default"/>
        </w:rPr>
        <w:t xml:space="preserve"> </w:t>
      </w:r>
    </w:p>
    <w:p w14:paraId="0B8A57B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负责对事件信息进行跟踪收集和研判，并根据达到的预警级别条件发布相应的预警，通报组织实施预警行动和应急处置行动的部门和单位。同时通过电视、微信、报纸、互联网、手机短信、当面告知等渠道或方式向</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 xml:space="preserve">公众发布预警信息，并通报可能影响到的相关地区。 </w:t>
      </w:r>
    </w:p>
    <w:p w14:paraId="3F6B27A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预警信息发布后，由应急指挥部根据事态发展、采取措施的效果，适时调整预警级别并再次发布。 </w:t>
      </w:r>
    </w:p>
    <w:p w14:paraId="4DAC2FB2">
      <w:pPr>
        <w:pStyle w:val="4"/>
        <w:bidi w:val="0"/>
        <w:rPr>
          <w:rFonts w:hint="default"/>
        </w:rPr>
      </w:pPr>
      <w:bookmarkStart w:id="49" w:name="_Toc27515"/>
      <w:r>
        <w:rPr>
          <w:rFonts w:hint="default"/>
        </w:rPr>
        <w:t>4.4.</w:t>
      </w:r>
      <w:r>
        <w:rPr>
          <w:rFonts w:hint="default"/>
          <w:lang w:val="en-US" w:eastAsia="zh-CN"/>
        </w:rPr>
        <w:t>3</w:t>
      </w:r>
      <w:r>
        <w:rPr>
          <w:rFonts w:hint="default"/>
        </w:rPr>
        <w:t xml:space="preserve"> 预警发布内容</w:t>
      </w:r>
      <w:bookmarkEnd w:id="49"/>
      <w:r>
        <w:rPr>
          <w:rFonts w:hint="default"/>
        </w:rPr>
        <w:t xml:space="preserve"> </w:t>
      </w:r>
    </w:p>
    <w:p w14:paraId="3FE0EE39">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预警发布的内容包括发布单位、发布时间、突发事件的类别、起始时间、影响人口（含影响时间）、可能影响的范围、预警级别、警示事项、事态发展、应采取的措施和咨询电话等。 </w:t>
      </w:r>
    </w:p>
    <w:p w14:paraId="1EEFC7FC">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应急组织指挥部应加强对预警信息动态管理，根据事态发展变化，适时调整预警级别，更新预警信息内容，并重新发布、报告和通报有关情况。 </w:t>
      </w:r>
    </w:p>
    <w:p w14:paraId="0507DF7F">
      <w:pPr>
        <w:pStyle w:val="4"/>
        <w:bidi w:val="0"/>
        <w:rPr>
          <w:rFonts w:hint="default"/>
        </w:rPr>
      </w:pPr>
      <w:bookmarkStart w:id="50" w:name="_Toc25192"/>
      <w:r>
        <w:rPr>
          <w:rFonts w:hint="default"/>
        </w:rPr>
        <w:t>4.4.</w:t>
      </w:r>
      <w:r>
        <w:rPr>
          <w:rFonts w:hint="default"/>
          <w:lang w:val="en-US" w:eastAsia="zh-CN"/>
        </w:rPr>
        <w:t>4</w:t>
      </w:r>
      <w:r>
        <w:rPr>
          <w:rFonts w:hint="default"/>
        </w:rPr>
        <w:t xml:space="preserve"> 预警行动</w:t>
      </w:r>
      <w:bookmarkEnd w:id="50"/>
      <w:r>
        <w:rPr>
          <w:rFonts w:hint="default"/>
        </w:rPr>
        <w:t xml:space="preserve"> </w:t>
      </w:r>
    </w:p>
    <w:p w14:paraId="48B3431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预警信息发布后，现场应急指挥部组织开展应急响应工作</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 xml:space="preserve">在发布红色预警时，现场应急指挥部的总指挥应当到达现场指挥工作。 </w:t>
      </w:r>
    </w:p>
    <w:p w14:paraId="5BE578E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预警行动包含以下内容： </w:t>
      </w:r>
    </w:p>
    <w:p w14:paraId="1845FC2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）启动应急预案；</w:t>
      </w:r>
    </w:p>
    <w:p w14:paraId="1E68143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（2）通知现场应急指挥部中的有关单位和人员做好应急准备，进入待命状态，必要时到达现场开展相关工作； </w:t>
      </w:r>
    </w:p>
    <w:p w14:paraId="3CDD5C6E">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）责令水源地供水单位进入待命状态，做好停止取水、深度处理、低压供水或启动备用水源等准备工作； </w:t>
      </w:r>
    </w:p>
    <w:p w14:paraId="1AB86FD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）加强信息监控，核实突发环境事件污染来源、进入水体的污染物种类和总量、污染扩散范围等信息； </w:t>
      </w:r>
    </w:p>
    <w:p w14:paraId="35C1B29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 xml:space="preserve">）开展应急监测，对水源地水体加强监测，对可能导致水源地突发环境事件发生的相关企业事业单位和其它生产经营者加强环境监管； </w:t>
      </w:r>
    </w:p>
    <w:p w14:paraId="11E7865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）依据不同预案情景和部门职责分工，上报</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和机构、由应急专家对预警信息进行溯源分析，预估可能影响的范围和危害程度； </w:t>
      </w:r>
    </w:p>
    <w:p w14:paraId="1722AA4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 xml:space="preserve">）调集应急所需物资和设备，做好应急保障工作； </w:t>
      </w:r>
    </w:p>
    <w:p w14:paraId="3D75B9A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 xml:space="preserve">）在危险区域设置提示或者警告标志； </w:t>
      </w:r>
    </w:p>
    <w:p w14:paraId="38A742A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rPr>
        <w:t xml:space="preserve">）责令应急救援队伍、负有特定职责的人员进入待命状态，动员后备人员做好应急救援准备，并开展先期处置； </w:t>
      </w:r>
    </w:p>
    <w:p w14:paraId="41A926E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rPr>
        <w:t xml:space="preserve">）必要时，及时上报管理部门，并通过电视、微信、报纸、互联网、手机短信等媒体向公众发布预警信息，并加强舆情监测，做好舆论引导和舆情应对工作。 </w:t>
      </w:r>
    </w:p>
    <w:p w14:paraId="3511E7A6">
      <w:pPr>
        <w:pStyle w:val="3"/>
        <w:bidi w:val="0"/>
        <w:rPr>
          <w:rFonts w:hint="default"/>
          <w:lang w:val="en-US" w:eastAsia="zh-CN"/>
        </w:rPr>
      </w:pPr>
      <w:bookmarkStart w:id="51" w:name="_Toc21525"/>
      <w:bookmarkStart w:id="52" w:name="_Toc3239"/>
      <w:r>
        <w:rPr>
          <w:rFonts w:hint="default"/>
          <w:lang w:val="en-US" w:eastAsia="zh-CN"/>
        </w:rPr>
        <w:t>4.5 预警解除</w:t>
      </w:r>
      <w:bookmarkEnd w:id="51"/>
      <w:bookmarkEnd w:id="52"/>
      <w:r>
        <w:rPr>
          <w:rFonts w:hint="default"/>
          <w:lang w:val="en-US" w:eastAsia="zh-CN"/>
        </w:rPr>
        <w:t xml:space="preserve"> </w:t>
      </w:r>
    </w:p>
    <w:p w14:paraId="4A1E96D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当突发环境事件条件已经排除、污染物质已降至规定限值以内、所造成的危害基本消除时，由应急组织指挥机构宣布解除预警，终止已经采取的有关行动和措施。 </w:t>
      </w:r>
    </w:p>
    <w:p w14:paraId="05EDE2F5">
      <w:pPr>
        <w:pStyle w:val="3"/>
        <w:bidi w:val="0"/>
        <w:rPr>
          <w:rFonts w:hint="default"/>
          <w:lang w:val="en-US" w:eastAsia="zh-CN"/>
        </w:rPr>
      </w:pPr>
      <w:bookmarkStart w:id="53" w:name="_Toc14112"/>
      <w:bookmarkStart w:id="54" w:name="_Toc31397"/>
      <w:r>
        <w:rPr>
          <w:rFonts w:hint="default"/>
          <w:lang w:val="en-US" w:eastAsia="zh-CN"/>
        </w:rPr>
        <w:t>4.6 信息报告与通报</w:t>
      </w:r>
      <w:bookmarkEnd w:id="53"/>
      <w:bookmarkEnd w:id="54"/>
      <w:r>
        <w:rPr>
          <w:rFonts w:hint="default"/>
          <w:lang w:val="en-US" w:eastAsia="zh-CN"/>
        </w:rPr>
        <w:t xml:space="preserve"> </w:t>
      </w:r>
    </w:p>
    <w:p w14:paraId="613FC3F9">
      <w:pPr>
        <w:pStyle w:val="4"/>
        <w:bidi w:val="0"/>
        <w:rPr>
          <w:rFonts w:hint="default"/>
        </w:rPr>
      </w:pPr>
      <w:bookmarkStart w:id="55" w:name="_Toc22368"/>
      <w:r>
        <w:rPr>
          <w:rFonts w:hint="default"/>
        </w:rPr>
        <w:t>4.</w:t>
      </w:r>
      <w:r>
        <w:rPr>
          <w:rFonts w:hint="default"/>
          <w:lang w:val="en-US" w:eastAsia="zh-CN"/>
        </w:rPr>
        <w:t>6</w:t>
      </w:r>
      <w:r>
        <w:rPr>
          <w:rFonts w:hint="default"/>
        </w:rPr>
        <w:t>.1 信息报告程序</w:t>
      </w:r>
      <w:bookmarkEnd w:id="55"/>
      <w:r>
        <w:rPr>
          <w:rFonts w:hint="default"/>
        </w:rPr>
        <w:t xml:space="preserve"> </w:t>
      </w:r>
    </w:p>
    <w:p w14:paraId="3E8C5B3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）发现已经造成或者可能造成水源地污染的有关人员和责任单位，应立即向</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办公室报告</w:t>
      </w:r>
      <w:r>
        <w:rPr>
          <w:rFonts w:hint="eastAsia" w:cs="Times New Roman"/>
          <w:sz w:val="28"/>
          <w:szCs w:val="28"/>
          <w:lang w:eastAsia="zh-CN"/>
        </w:rPr>
        <w:t>，</w:t>
      </w:r>
      <w:r>
        <w:rPr>
          <w:rFonts w:hint="eastAsia" w:cs="Times New Roman"/>
          <w:sz w:val="28"/>
          <w:szCs w:val="28"/>
          <w:lang w:val="en-US" w:eastAsia="zh-CN"/>
        </w:rPr>
        <w:t>不得瞒报、谎报，初次报告最迟不得超过1小时</w:t>
      </w:r>
      <w:r>
        <w:rPr>
          <w:rFonts w:hint="default" w:ascii="Times New Roman" w:hAnsi="Times New Roman" w:eastAsia="仿宋" w:cs="Times New Roman"/>
          <w:sz w:val="28"/>
          <w:szCs w:val="28"/>
        </w:rPr>
        <w:t xml:space="preserve">。 </w:t>
      </w:r>
    </w:p>
    <w:p w14:paraId="341D08E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办公室在发现或者得知水源地突发环境事件信息后，应立即进行核实，了解相关情况。经核实后，第一时间向</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和</w:t>
      </w:r>
      <w:r>
        <w:rPr>
          <w:rFonts w:hint="eastAsia" w:cs="Times New Roman"/>
          <w:sz w:val="28"/>
          <w:szCs w:val="28"/>
          <w:lang w:val="en-US" w:eastAsia="zh-CN"/>
        </w:rPr>
        <w:t>吕梁市生态环境局汾阳分局</w:t>
      </w:r>
      <w:r>
        <w:rPr>
          <w:rFonts w:hint="default" w:ascii="Times New Roman" w:hAnsi="Times New Roman" w:eastAsia="仿宋" w:cs="Times New Roman"/>
          <w:sz w:val="28"/>
          <w:szCs w:val="28"/>
        </w:rPr>
        <w:t xml:space="preserve">报告。 </w:t>
      </w:r>
    </w:p>
    <w:p w14:paraId="37B7D66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）国家、省、市生态环境部门先于</w:t>
      </w:r>
      <w:r>
        <w:rPr>
          <w:rFonts w:hint="eastAsia" w:ascii="Times New Roman" w:hAnsi="Times New Roman" w:eastAsia="仿宋" w:cs="Times New Roman"/>
          <w:sz w:val="28"/>
          <w:szCs w:val="28"/>
          <w:lang w:eastAsia="zh-CN"/>
        </w:rPr>
        <w:t>吕梁市生态环境局汾阳分局</w:t>
      </w:r>
      <w:r>
        <w:rPr>
          <w:rFonts w:hint="default" w:ascii="Times New Roman" w:hAnsi="Times New Roman" w:eastAsia="仿宋" w:cs="Times New Roman"/>
          <w:sz w:val="28"/>
          <w:szCs w:val="28"/>
        </w:rPr>
        <w:t>获悉水源地突发环境事件信息的，可要求</w:t>
      </w:r>
      <w:r>
        <w:rPr>
          <w:rFonts w:hint="eastAsia" w:ascii="Times New Roman" w:hAnsi="Times New Roman" w:eastAsia="仿宋" w:cs="Times New Roman"/>
          <w:sz w:val="28"/>
          <w:szCs w:val="28"/>
          <w:lang w:eastAsia="zh-CN"/>
        </w:rPr>
        <w:t>吕梁市生态环境局汾阳分局</w:t>
      </w:r>
      <w:r>
        <w:rPr>
          <w:rFonts w:hint="default" w:ascii="Times New Roman" w:hAnsi="Times New Roman" w:eastAsia="仿宋" w:cs="Times New Roman"/>
          <w:sz w:val="28"/>
          <w:szCs w:val="28"/>
        </w:rPr>
        <w:t xml:space="preserve">核实相应信息。 </w:t>
      </w:r>
    </w:p>
    <w:p w14:paraId="5D58858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）特殊情况下，若遇到敏感事件或发生在重点地区、特殊时期，或可能演化为重大、特别重大突发环境事件的信息，不受报送程序限制，相关责任单位和有关职能部门要立即向本级水源地应急指挥部报告。 </w:t>
      </w:r>
    </w:p>
    <w:p w14:paraId="481FE59B">
      <w:pPr>
        <w:pStyle w:val="4"/>
        <w:bidi w:val="0"/>
        <w:rPr>
          <w:rFonts w:hint="default"/>
          <w:lang w:val="en-US" w:eastAsia="zh-CN"/>
        </w:rPr>
      </w:pPr>
      <w:bookmarkStart w:id="56" w:name="_Toc18015"/>
      <w:r>
        <w:rPr>
          <w:rFonts w:hint="default"/>
          <w:lang w:val="en-US" w:eastAsia="zh-CN"/>
        </w:rPr>
        <w:t>4.6.2 信息通报程序</w:t>
      </w:r>
      <w:bookmarkEnd w:id="56"/>
    </w:p>
    <w:p w14:paraId="2821F61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对于经核实后的水源地突发环境事件，接报的单位应向</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和</w:t>
      </w:r>
      <w:r>
        <w:rPr>
          <w:rFonts w:hint="eastAsia" w:ascii="Times New Roman" w:hAnsi="Times New Roman" w:cs="Times New Roman"/>
          <w:sz w:val="28"/>
          <w:szCs w:val="28"/>
          <w:lang w:eastAsia="zh-CN"/>
        </w:rPr>
        <w:t>汾阳市</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通报。通报的部门至少应包括生态环境、供水管理（住建或水务）、卫生、水行政等部门；根据水源地突发环境事件的类型和情景，还应通报消防（遇火灾爆炸）、交通（遇水上运输事故）、公安（遇火灾爆炸、道路运输事故）、应急、农业（遇大面积死鱼）等部门。 </w:t>
      </w:r>
    </w:p>
    <w:p w14:paraId="48E4B80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水源地突发环境事件已经或可能影响相邻行政区域的，</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人民政府及</w:t>
      </w:r>
      <w:r>
        <w:rPr>
          <w:rFonts w:hint="eastAsia" w:cs="Times New Roman"/>
          <w:sz w:val="28"/>
          <w:szCs w:val="28"/>
          <w:lang w:eastAsia="zh-CN"/>
        </w:rPr>
        <w:t>相关部门</w:t>
      </w:r>
      <w:r>
        <w:rPr>
          <w:rFonts w:hint="default" w:ascii="Times New Roman" w:hAnsi="Times New Roman" w:eastAsia="仿宋" w:cs="Times New Roman"/>
          <w:sz w:val="28"/>
          <w:szCs w:val="28"/>
        </w:rPr>
        <w:t>应及时通报相邻区域同级人民政府及</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 </w:t>
      </w:r>
    </w:p>
    <w:p w14:paraId="7DA7CF78">
      <w:pPr>
        <w:pStyle w:val="4"/>
        <w:bidi w:val="0"/>
        <w:rPr>
          <w:rFonts w:hint="default"/>
        </w:rPr>
      </w:pPr>
      <w:bookmarkStart w:id="57" w:name="_Toc18051"/>
      <w:r>
        <w:rPr>
          <w:rFonts w:hint="default"/>
        </w:rPr>
        <w:t>4.</w:t>
      </w:r>
      <w:r>
        <w:rPr>
          <w:rFonts w:hint="default"/>
          <w:lang w:val="en-US" w:eastAsia="zh-CN"/>
        </w:rPr>
        <w:t>6</w:t>
      </w:r>
      <w:r>
        <w:rPr>
          <w:rFonts w:hint="default"/>
        </w:rPr>
        <w:t>.3 信息报告和通报内容</w:t>
      </w:r>
      <w:bookmarkEnd w:id="57"/>
      <w:r>
        <w:rPr>
          <w:rFonts w:hint="default"/>
        </w:rPr>
        <w:t xml:space="preserve"> </w:t>
      </w:r>
    </w:p>
    <w:p w14:paraId="6AB78FF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按照不同的时间节点，水源地突发环境事件的报告和通报分为初报、续报和处理结果报告。初报是发现或得知突发环境事件后首次报告；续报在查清有关基本情况、事件发展情况后的报告；处理结果报告是在突发环境事件处理完毕后的报告。</w:t>
      </w:r>
    </w:p>
    <w:p w14:paraId="34E0088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初报应当报告水源地突发环境事件的发生时间、地点、信息来源、事件起因和性质、基本过程、主要污染物和数量、监测结果、人员受害情况、饮用水水源地受影响情况、事件发展趋势、处置情况、拟采取的措施以及下一步工作建议等初步情况。 </w:t>
      </w:r>
    </w:p>
    <w:p w14:paraId="7BBACDB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）续报应在初报基本信息的基础上，报告有关处置进展情况。 </w:t>
      </w:r>
    </w:p>
    <w:p w14:paraId="51C8C4C9">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）处理结果报告应在初报和续报的基础上，报告处理突发环境事件的措施、过程和结果，突发环境事件潜在或者间接危害以及损失、社会影响、处理后的遗留问题、责任追究等详细情况。 </w:t>
      </w:r>
    </w:p>
    <w:p w14:paraId="1F6AC00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水源地突发环境事件信息应当采用传真、网络、邮寄或面呈等方式书面报告；情况紧急时，初报可通过电话报告，但应当及时补充书面报告材料。书面报告中应当说明突发环境事件报告单位、报告签发人、联系人及联系方式等内容，并尽可能提供地图、图片以及相关的多媒体资料。 </w:t>
      </w:r>
    </w:p>
    <w:p w14:paraId="79F8E995">
      <w:pPr>
        <w:pStyle w:val="3"/>
        <w:bidi w:val="0"/>
        <w:rPr>
          <w:rFonts w:hint="default"/>
          <w:lang w:val="en-US" w:eastAsia="zh-CN"/>
        </w:rPr>
      </w:pPr>
      <w:bookmarkStart w:id="58" w:name="_Toc22856"/>
      <w:bookmarkStart w:id="59" w:name="_Toc2208"/>
      <w:r>
        <w:rPr>
          <w:rFonts w:hint="default"/>
          <w:lang w:val="en-US" w:eastAsia="zh-CN"/>
        </w:rPr>
        <w:t>4.7应急监测</w:t>
      </w:r>
      <w:bookmarkEnd w:id="58"/>
      <w:bookmarkEnd w:id="59"/>
      <w:r>
        <w:rPr>
          <w:rFonts w:hint="default"/>
          <w:lang w:val="en-US" w:eastAsia="zh-CN"/>
        </w:rPr>
        <w:t xml:space="preserve"> </w:t>
      </w:r>
    </w:p>
    <w:p w14:paraId="58DCB38F">
      <w:pPr>
        <w:pStyle w:val="4"/>
        <w:bidi w:val="0"/>
        <w:rPr>
          <w:rFonts w:hint="default"/>
        </w:rPr>
      </w:pPr>
      <w:bookmarkStart w:id="60" w:name="_Toc15577"/>
      <w:r>
        <w:rPr>
          <w:rFonts w:hint="default"/>
          <w:lang w:val="en-US" w:eastAsia="zh-CN"/>
        </w:rPr>
        <w:t>4.7.1</w:t>
      </w:r>
      <w:r>
        <w:rPr>
          <w:rFonts w:hint="default"/>
        </w:rPr>
        <w:t>开展应急监测程序</w:t>
      </w:r>
      <w:bookmarkEnd w:id="60"/>
      <w:r>
        <w:rPr>
          <w:rFonts w:hint="default"/>
        </w:rPr>
        <w:t xml:space="preserve"> </w:t>
      </w:r>
    </w:p>
    <w:p w14:paraId="7572C6E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事件处置初期，</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水源地应急指挥部组织应急监测组根据现场实际情况制定监测方案、设置监测点位（断面）、确定监测频次、组织开展监测、形成监测报告，第一时间向现场应急指挥部报告监测结果和污染浓度变化态势图，并安排人员对突发环境事件监测情况进行全过程记录。 </w:t>
      </w:r>
    </w:p>
    <w:p w14:paraId="6F84761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事件处置中期，根据事态发展，如上游来水量、应急处置措施效果等情况，适时调整监测点位（断面）和监测频次。 </w:t>
      </w:r>
    </w:p>
    <w:p w14:paraId="4FB40F2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事件处置末期，应按照现场应急指挥部命令，停止应急监测，并向现场应急指挥部提交应急监测总结报告。 </w:t>
      </w:r>
    </w:p>
    <w:p w14:paraId="25C86C3B">
      <w:pPr>
        <w:pStyle w:val="4"/>
        <w:bidi w:val="0"/>
        <w:rPr>
          <w:rFonts w:hint="default"/>
          <w:lang w:val="en-US" w:eastAsia="zh-CN"/>
        </w:rPr>
      </w:pPr>
      <w:bookmarkStart w:id="61" w:name="_Toc10735"/>
      <w:r>
        <w:rPr>
          <w:rFonts w:hint="default"/>
          <w:lang w:val="en-US" w:eastAsia="zh-CN"/>
        </w:rPr>
        <w:t>4.7.2制定应急监测方案</w:t>
      </w:r>
      <w:bookmarkEnd w:id="61"/>
      <w:r>
        <w:rPr>
          <w:rFonts w:hint="default"/>
          <w:lang w:val="en-US" w:eastAsia="zh-CN"/>
        </w:rPr>
        <w:t xml:space="preserve"> </w:t>
      </w:r>
    </w:p>
    <w:p w14:paraId="22896CB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应急监测方案应包括依据的技术规范、实施人员、布点原则、采样频次和注意事项，监测结果记录和报告方式等。应急监测方案应包括以下内容：</w:t>
      </w:r>
    </w:p>
    <w:p w14:paraId="2AD4B87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（1）确定监测范围</w:t>
      </w:r>
    </w:p>
    <w:p w14:paraId="1D2DA57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应尽量涵盖水源地突发环境事件的污染范围，并包括事件可能影响区域和污染物本底浓度的监测区域。</w:t>
      </w:r>
    </w:p>
    <w:p w14:paraId="5347D47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（2）布设监测点位和确定频次</w:t>
      </w:r>
    </w:p>
    <w:p w14:paraId="18BE310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监测点位布设。采样点的布设以水源地突发环境事件发生地点为中心或源头，结合水文和地形条件，在其扩散方向合理布点，上风向适当布设对照点位作为环境背景参照。必要时咨询专家意见。</w:t>
      </w:r>
    </w:p>
    <w:p w14:paraId="458CB3E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频次确定。应采取不同点位（断面）相同间隔时间（一般为1小时）同步采样监测方式，动态监控污染带移动过程，主要根据污染状况、不同的环境区域功能和事件发生地的污染实际情况来确定。距离水源地突发环境事件发生时间越短，采样频次应越高。当发生突发事件时，做到及时到达现场、及时测出数据、及时提供可靠权威信息,根据污染具体情况,实施动态跟踪监测、水质水量同步监测手段。</w:t>
      </w:r>
    </w:p>
    <w:p w14:paraId="4BBC04D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（3）现场采样</w:t>
      </w:r>
    </w:p>
    <w:p w14:paraId="3D33B60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采样和监测人员应根据水源地突发环境事件泄漏物的理化性质采取必要的防护措施，如防毒口罩、耐酸碱防毒手套、防酸碱长筒靴等，做好自身防护工作。</w:t>
      </w:r>
    </w:p>
    <w:p w14:paraId="59A802F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（4）确定监测项目</w:t>
      </w:r>
    </w:p>
    <w:p w14:paraId="1073656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①对于流动源污染，可以通过询问当事人、查看运载记录或者从移动载体泄漏物中获得可能产生的污染物信息来确定监测项目；</w:t>
      </w:r>
    </w:p>
    <w:p w14:paraId="33DFA7E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②对于未知源污染，监测项目的确定须从事件的现场特征入手，结合事件周边的交通及地理环境现状进行综合分析来确定监测项目。必要时咨询专家组意见。</w:t>
      </w:r>
    </w:p>
    <w:p w14:paraId="1379268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（5）分析方法</w:t>
      </w:r>
    </w:p>
    <w:p w14:paraId="5CF3C07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具备现场监测条件的监测项目，应尽量在现场监测。必要时，备份样品送实验室监（复）测，以确认现场定性或定量监测结果的准确性。</w:t>
      </w:r>
    </w:p>
    <w:p w14:paraId="055A64E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现场采样方法及采样量、现场监测仪器和分析方法应参照相应的监测技术规范和有关标准，并做好质量控制和保证及记录工作。</w:t>
      </w:r>
    </w:p>
    <w:p w14:paraId="28D6892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（6）监测数据的整理分析和上报</w:t>
      </w:r>
    </w:p>
    <w:p w14:paraId="05BC35B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应本着及时、快速报送的原则，以电话、传真、监测快报等形式立即上报给汾阳市</w:t>
      </w:r>
      <w:r>
        <w:rPr>
          <w:rFonts w:hint="eastAsia" w:cs="Times New Roman"/>
          <w:sz w:val="28"/>
          <w:szCs w:val="28"/>
          <w:lang w:val="en-US" w:eastAsia="zh-CN"/>
        </w:rPr>
        <w:t>10</w:t>
      </w:r>
      <w:r>
        <w:rPr>
          <w:rFonts w:hint="default" w:ascii="Times New Roman" w:hAnsi="Times New Roman" w:eastAsia="仿宋" w:cs="Times New Roman"/>
          <w:sz w:val="28"/>
          <w:szCs w:val="28"/>
        </w:rPr>
        <w:t>处</w:t>
      </w:r>
      <w:r>
        <w:rPr>
          <w:rFonts w:hint="eastAsia" w:cs="Times New Roman"/>
          <w:sz w:val="28"/>
          <w:szCs w:val="28"/>
          <w:lang w:val="en-US" w:eastAsia="zh-CN"/>
        </w:rPr>
        <w:t>乡镇集中式</w:t>
      </w:r>
      <w:r>
        <w:rPr>
          <w:rFonts w:hint="default" w:ascii="Times New Roman" w:hAnsi="Times New Roman" w:eastAsia="仿宋" w:cs="Times New Roman"/>
          <w:sz w:val="28"/>
          <w:szCs w:val="28"/>
        </w:rPr>
        <w:t>饮用水水源应急指挥中心，作为决策的依据。</w:t>
      </w:r>
    </w:p>
    <w:p w14:paraId="11A0011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各乡镇人民政府负责水质监测，一旦发现有污染物超标的情况，立即向吕梁市生态环境局汾阳分局汇报，环保部门根据上报的监测数据进行分析，辨析污染物超标的原因。 </w:t>
      </w:r>
    </w:p>
    <w:p w14:paraId="32D98B05">
      <w:pPr>
        <w:pStyle w:val="3"/>
        <w:bidi w:val="0"/>
        <w:rPr>
          <w:rFonts w:hint="default"/>
          <w:lang w:val="en-US" w:eastAsia="zh-CN"/>
        </w:rPr>
      </w:pPr>
      <w:bookmarkStart w:id="62" w:name="_Toc6427"/>
      <w:bookmarkStart w:id="63" w:name="_Toc7366"/>
      <w:r>
        <w:rPr>
          <w:rFonts w:hint="default"/>
          <w:lang w:val="en-US" w:eastAsia="zh-CN"/>
        </w:rPr>
        <w:t>4.8 溯源分析</w:t>
      </w:r>
      <w:bookmarkEnd w:id="62"/>
      <w:bookmarkEnd w:id="63"/>
      <w:r>
        <w:rPr>
          <w:rFonts w:hint="default"/>
          <w:lang w:val="en-US" w:eastAsia="zh-CN"/>
        </w:rPr>
        <w:t xml:space="preserve"> </w:t>
      </w:r>
    </w:p>
    <w:p w14:paraId="386D48F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lef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当水质监测发现异常、污染物来源不确定时，应急监测组</w:t>
      </w:r>
      <w:r>
        <w:rPr>
          <w:rFonts w:hint="eastAsia" w:ascii="Times New Roman" w:hAnsi="Times New Roman" w:eastAsia="仿宋" w:cs="Times New Roman"/>
          <w:sz w:val="28"/>
          <w:szCs w:val="28"/>
          <w:lang w:val="en-US" w:eastAsia="zh-CN"/>
        </w:rPr>
        <w:t>牵头单位吕梁市生态环境局汾阳分局</w:t>
      </w:r>
      <w:r>
        <w:rPr>
          <w:rFonts w:hint="default" w:ascii="Times New Roman" w:hAnsi="Times New Roman" w:eastAsia="仿宋" w:cs="Times New Roman"/>
          <w:sz w:val="28"/>
          <w:szCs w:val="28"/>
        </w:rPr>
        <w:t>应立即根据特征污染物种类、浓度变化、释放总量、释放路径、释放时间，以及当时的水文和气象条件，迅速组织开展污染源排查。针对不同类型污染物的排查重点和对象如下。</w:t>
      </w:r>
      <w:r>
        <w:rPr>
          <w:rFonts w:hint="eastAsia" w:ascii="Times New Roman" w:hAnsi="Times New Roman" w:eastAsia="仿宋" w:cs="Times New Roman"/>
          <w:sz w:val="28"/>
          <w:szCs w:val="28"/>
          <w:lang w:val="en-US" w:eastAsia="zh-CN"/>
        </w:rPr>
        <w:t>牵头单位负责人及联系电话见表3-1。</w:t>
      </w:r>
    </w:p>
    <w:p w14:paraId="08550E8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（1）有机类污染：溯源的重点排查对象为生活污水处理厂、大型工业企业，调查污水处理设施运行、尾水排放的异常状况。 </w:t>
      </w:r>
    </w:p>
    <w:p w14:paraId="0CE2231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营养盐类污染：溯源的重点排查对象为城镇生活污水处理厂、畜禽养殖场（户）、农田种植户、农村居民点、医疗场所等，调查污水处理设施运行、养殖废物处理处置、农药化肥施用、农村生活污染、医疗废水处理及消毒设施的异常状况。 </w:t>
      </w:r>
    </w:p>
    <w:p w14:paraId="624F0EA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）细菌类污染：溯源的重点排查对象为生活污水处理厂、畜禽养殖场（户）、农村居民点，调查污水处理设施运行、养殖废物处理处置、农村生活污染的异常状况。</w:t>
      </w:r>
    </w:p>
    <w:p w14:paraId="2524941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）农药类污染：溯源的重点排查对象为果园种植园/ 户、农灌尾水排放口，调查农药施用和流失的异常状况。 </w:t>
      </w:r>
    </w:p>
    <w:p w14:paraId="69B63C3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）石油类污染：溯源的重点排查对象为涉及道路交通运输的加油站、运输车辆以及油气管线，调查上述石油类物质运输或储存设施的异常状况。</w:t>
      </w:r>
    </w:p>
    <w:p w14:paraId="7D0E045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）重金属及其它有毒有害物质污染：溯源的重点排查对象为大型工业企业、危险废物储存单位等，调查上述单位的异常状况。</w:t>
      </w:r>
    </w:p>
    <w:p w14:paraId="3E59B50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7</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当潜水型水源地</w:t>
      </w:r>
      <w:r>
        <w:rPr>
          <w:rFonts w:hint="default" w:ascii="Times New Roman" w:hAnsi="Times New Roman" w:eastAsia="仿宋" w:cs="Times New Roman"/>
          <w:sz w:val="28"/>
          <w:szCs w:val="28"/>
        </w:rPr>
        <w:t>水质监测发现异常、污染物来源不确定时</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需</w:t>
      </w:r>
      <w:r>
        <w:rPr>
          <w:rFonts w:hint="eastAsia" w:ascii="Times New Roman" w:hAnsi="Times New Roman" w:eastAsia="仿宋" w:cs="Times New Roman"/>
          <w:sz w:val="28"/>
          <w:szCs w:val="28"/>
          <w:lang w:eastAsia="zh-CN"/>
        </w:rPr>
        <w:t>关注河流侧向补给及上游入河排污口是否存在超标排放。</w:t>
      </w:r>
    </w:p>
    <w:p w14:paraId="29236406">
      <w:pPr>
        <w:pStyle w:val="3"/>
        <w:bidi w:val="0"/>
        <w:rPr>
          <w:rFonts w:hint="default"/>
          <w:lang w:val="en-US" w:eastAsia="zh-CN"/>
        </w:rPr>
      </w:pPr>
      <w:bookmarkStart w:id="64" w:name="_Toc27968"/>
      <w:bookmarkStart w:id="65" w:name="_Toc26717"/>
      <w:r>
        <w:rPr>
          <w:rFonts w:hint="default"/>
          <w:lang w:val="en-US" w:eastAsia="zh-CN"/>
        </w:rPr>
        <w:t>4.9先期处置</w:t>
      </w:r>
      <w:bookmarkEnd w:id="64"/>
      <w:bookmarkEnd w:id="65"/>
    </w:p>
    <w:p w14:paraId="2EF2C97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集中式饮用水水源地突发环境事件发生后，涉事企事业单位或其他生产经营者要立即组织力量进行先行处置，根据事件严重程度和污染物性质，采取必要的关闭、停产、封堵、围挡、吸附、稀释、转移等措施，迅速切断和控制污染源，防止污染蔓延扩散。做好有毒有害物质和消防废水、废液等的收集、清理和安全处置工作。加强对事件现场的监视、控制，立即向</w:t>
      </w:r>
      <w:r>
        <w:rPr>
          <w:rFonts w:hint="eastAsia" w:cs="Times New Roman"/>
          <w:sz w:val="28"/>
          <w:szCs w:val="28"/>
          <w:lang w:val="en-US" w:eastAsia="zh-CN"/>
        </w:rPr>
        <w:t>相关部门</w:t>
      </w:r>
      <w:r>
        <w:rPr>
          <w:rFonts w:hint="default" w:ascii="Times New Roman" w:hAnsi="Times New Roman" w:eastAsia="仿宋" w:cs="Times New Roman"/>
          <w:sz w:val="28"/>
          <w:szCs w:val="28"/>
          <w:lang w:val="en-US" w:eastAsia="zh-CN"/>
        </w:rPr>
        <w:t>和</w:t>
      </w:r>
      <w:r>
        <w:rPr>
          <w:rFonts w:hint="eastAsia" w:cs="Times New Roman"/>
          <w:sz w:val="28"/>
          <w:szCs w:val="28"/>
          <w:lang w:val="en-US" w:eastAsia="zh-CN"/>
        </w:rPr>
        <w:t>汾阳市10处乡镇集中式饮用水水源地应急指挥部</w:t>
      </w:r>
      <w:r>
        <w:rPr>
          <w:rFonts w:hint="default" w:ascii="Times New Roman" w:hAnsi="Times New Roman" w:eastAsia="仿宋" w:cs="Times New Roman"/>
          <w:sz w:val="28"/>
          <w:szCs w:val="28"/>
          <w:lang w:val="en-US" w:eastAsia="zh-CN"/>
        </w:rPr>
        <w:t xml:space="preserve">报告情况。 </w:t>
      </w:r>
    </w:p>
    <w:p w14:paraId="0A53300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接到集中式饮用水水源地突发环境事件报告后，</w:t>
      </w:r>
      <w:r>
        <w:rPr>
          <w:rFonts w:hint="eastAsia" w:cs="Times New Roman"/>
          <w:sz w:val="28"/>
          <w:szCs w:val="28"/>
          <w:lang w:val="en-US" w:eastAsia="zh-CN"/>
        </w:rPr>
        <w:t>汾阳市人民政府</w:t>
      </w:r>
      <w:r>
        <w:rPr>
          <w:rFonts w:hint="default" w:ascii="Times New Roman" w:hAnsi="Times New Roman" w:eastAsia="仿宋" w:cs="Times New Roman"/>
          <w:sz w:val="28"/>
          <w:szCs w:val="28"/>
          <w:lang w:val="en-US" w:eastAsia="zh-CN"/>
        </w:rPr>
        <w:t>、</w:t>
      </w:r>
      <w:r>
        <w:rPr>
          <w:rFonts w:hint="eastAsia" w:cs="Times New Roman"/>
          <w:sz w:val="28"/>
          <w:szCs w:val="28"/>
          <w:lang w:val="en-US" w:eastAsia="zh-CN"/>
        </w:rPr>
        <w:t>相关部门</w:t>
      </w:r>
      <w:r>
        <w:rPr>
          <w:rFonts w:hint="default" w:ascii="Times New Roman" w:hAnsi="Times New Roman" w:eastAsia="仿宋" w:cs="Times New Roman"/>
          <w:sz w:val="28"/>
          <w:szCs w:val="28"/>
          <w:lang w:val="en-US" w:eastAsia="zh-CN"/>
        </w:rPr>
        <w:t xml:space="preserve">必须立即组织有关工作人员和技术支撑队伍赶赴现场，做好先期处置工作，采取有效措施消除和减轻污染危害，严防二次污染和次生、衍生事件发生。工作要点如下 </w:t>
      </w:r>
      <w:r>
        <w:rPr>
          <w:rFonts w:hint="eastAsia" w:cs="Times New Roman"/>
          <w:sz w:val="28"/>
          <w:szCs w:val="28"/>
          <w:lang w:val="en-US" w:eastAsia="zh-CN"/>
        </w:rPr>
        <w:t>：</w:t>
      </w:r>
      <w:r>
        <w:rPr>
          <w:rFonts w:hint="default" w:ascii="Times New Roman" w:hAnsi="Times New Roman" w:eastAsia="仿宋" w:cs="Times New Roman"/>
          <w:sz w:val="28"/>
          <w:szCs w:val="28"/>
          <w:lang w:val="en-US" w:eastAsia="zh-CN"/>
        </w:rPr>
        <w:t xml:space="preserve"> </w:t>
      </w:r>
    </w:p>
    <w:p w14:paraId="63E46D8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（1）切断固定源和流动源。 </w:t>
      </w:r>
    </w:p>
    <w:p w14:paraId="5A8B315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对于发生非正常排污或有毒有害物质泄漏的固定源突发环境事件，尽快查找污染源或泄漏源，通过关闭、封堵、收集、转移等措施，切断污染源或泄漏源。 </w:t>
      </w:r>
    </w:p>
    <w:p w14:paraId="454C100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对于道路交通运输过程中发生的流动源突发事件，可启动路面系统中建设的导流槽、应急池，或通过紧急设置围堰、闸坝等对污染物进行封堵和收集。 </w:t>
      </w:r>
    </w:p>
    <w:p w14:paraId="1FE1306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（2）启动应急收集系统，集中收集陆域污染物，设立拦截设施，防止污染物在陆域蔓延，组织相关部门对污染物进行回收处置等。</w:t>
      </w:r>
    </w:p>
    <w:p w14:paraId="508ABAD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（3）根据现场事故发展情况对扩散至水体的污染物进行处置。</w:t>
      </w:r>
    </w:p>
    <w:p w14:paraId="4FA6EE10">
      <w:pPr>
        <w:pStyle w:val="3"/>
        <w:bidi w:val="0"/>
        <w:rPr>
          <w:rFonts w:hint="default"/>
          <w:lang w:val="en-US" w:eastAsia="zh-CN"/>
        </w:rPr>
      </w:pPr>
      <w:bookmarkStart w:id="66" w:name="_Toc32001"/>
      <w:bookmarkStart w:id="67" w:name="_Toc18320"/>
      <w:r>
        <w:rPr>
          <w:rFonts w:hint="default"/>
          <w:lang w:val="en-US" w:eastAsia="zh-CN"/>
        </w:rPr>
        <w:t>4.10 物资调集及应急设施启用</w:t>
      </w:r>
      <w:bookmarkEnd w:id="66"/>
      <w:bookmarkEnd w:id="67"/>
      <w:r>
        <w:rPr>
          <w:rFonts w:hint="default"/>
          <w:lang w:val="en-US" w:eastAsia="zh-CN"/>
        </w:rPr>
        <w:t xml:space="preserve"> </w:t>
      </w:r>
    </w:p>
    <w:p w14:paraId="40909DE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根据应急物资调查，目前乡镇水源地应急物资及应急设施主要依托各乡镇人民政府及村委会。针对应急要求，应急物资装备应定期检查和维护措施，以保证其有效性。要及时对已过期的物资进行更换，定期进行保养维护。 </w:t>
      </w:r>
    </w:p>
    <w:p w14:paraId="7916D0D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预案建议应在各水源供水井房或管理站配备必要的应急处置物资，确保突发环境时间发生时可第一时间调用，保证饮用水安全。 </w:t>
      </w:r>
    </w:p>
    <w:p w14:paraId="317A67F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应急物资、装备和设施包括但不限于以下内容： </w:t>
      </w:r>
    </w:p>
    <w:p w14:paraId="64AFA4A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对水体内污染物进行拦截的物资、装备和设施，如吸油毡、围油栏、沙袋、筑坝材料、溢出控制装备等。 </w:t>
      </w:r>
    </w:p>
    <w:p w14:paraId="0EFC27D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控制和消除污染物的物资、装备和设施，如中和剂、灭火剂、解毒剂、吸收剂等。 </w:t>
      </w:r>
    </w:p>
    <w:p w14:paraId="294B276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防护、医疗、通讯等设备和工具，如防护服、防毒面具、手套、医疗箱、对讲机、车辆等。 </w:t>
      </w:r>
    </w:p>
    <w:p w14:paraId="71DA18C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移除和拦截移动源的装备和设施，如吊车、临时围堰、导流槽、应急池等。 </w:t>
      </w:r>
    </w:p>
    <w:p w14:paraId="7E276D5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雨水口垃圾清运和拦截的装备和设施，如格栅、清运车、临时设置的导流槽等。</w:t>
      </w:r>
    </w:p>
    <w:p w14:paraId="1D2E241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6、对污染物进行拦截、导流、分流及降解的应急工程设施，如拦截坝、节制闸、导流渠、分流沟、前置库等。 </w:t>
      </w:r>
    </w:p>
    <w:p w14:paraId="703BD564">
      <w:pPr>
        <w:pStyle w:val="3"/>
        <w:bidi w:val="0"/>
        <w:rPr>
          <w:rFonts w:hint="default"/>
          <w:lang w:val="en-US" w:eastAsia="zh-CN"/>
        </w:rPr>
      </w:pPr>
      <w:bookmarkStart w:id="68" w:name="_Toc5534"/>
      <w:bookmarkStart w:id="69" w:name="_Toc6021"/>
      <w:r>
        <w:rPr>
          <w:rFonts w:hint="default"/>
          <w:lang w:val="en-US" w:eastAsia="zh-CN"/>
        </w:rPr>
        <w:t>4.11 应急处置</w:t>
      </w:r>
      <w:bookmarkEnd w:id="68"/>
      <w:bookmarkEnd w:id="69"/>
      <w:r>
        <w:rPr>
          <w:rFonts w:hint="default"/>
          <w:lang w:val="en-US" w:eastAsia="zh-CN"/>
        </w:rPr>
        <w:t xml:space="preserve"> </w:t>
      </w:r>
    </w:p>
    <w:p w14:paraId="06B659A4">
      <w:pPr>
        <w:pStyle w:val="4"/>
        <w:bidi w:val="0"/>
        <w:rPr>
          <w:rFonts w:hint="default"/>
          <w:highlight w:val="none"/>
          <w:lang w:val="en-US" w:eastAsia="zh-CN"/>
        </w:rPr>
      </w:pPr>
      <w:bookmarkStart w:id="70" w:name="_Toc28379"/>
      <w:bookmarkStart w:id="71" w:name="_Toc17541"/>
      <w:bookmarkStart w:id="72" w:name="_Toc1196"/>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bookmarkEnd w:id="70"/>
      <w:bookmarkEnd w:id="71"/>
    </w:p>
    <w:p w14:paraId="448CE49E">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按照“先控制，后处理”的原则，迅速实施先期处置，优先控制污染源，尽快阻止污染物继续排放外泄。</w:t>
      </w:r>
    </w:p>
    <w:p w14:paraId="504D577D">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尽可能控制和缩小已排出污染物的扩散和蔓延范围，把水环境污染事件危害降到最小程度。</w:t>
      </w:r>
    </w:p>
    <w:p w14:paraId="6680F899">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依靠科技和专家力量，采取科学有效的措施，尽量避免和减少人员伤亡，确保人民群众生命安全。</w:t>
      </w:r>
    </w:p>
    <w:p w14:paraId="40F61061">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应急处置要立足于彻底消除污染危害，避免二次污染。</w:t>
      </w:r>
    </w:p>
    <w:p w14:paraId="4A369127">
      <w:pPr>
        <w:pStyle w:val="4"/>
        <w:bidi w:val="0"/>
        <w:rPr>
          <w:rFonts w:hint="default"/>
          <w:highlight w:val="none"/>
          <w:lang w:val="en-US" w:eastAsia="zh-CN"/>
        </w:rPr>
      </w:pPr>
      <w:bookmarkStart w:id="73" w:name="_Toc30205"/>
      <w:bookmarkStart w:id="74" w:name="_Toc18907"/>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bookmarkEnd w:id="73"/>
      <w:bookmarkEnd w:id="74"/>
    </w:p>
    <w:p w14:paraId="6C25B468">
      <w:pPr>
        <w:rPr>
          <w:rFonts w:hint="default"/>
          <w:highlight w:val="none"/>
          <w:lang w:val="en-US" w:eastAsia="zh-CN"/>
        </w:rPr>
      </w:pPr>
      <w:r>
        <w:rPr>
          <w:rFonts w:hint="default"/>
          <w:highlight w:val="none"/>
          <w:lang w:val="en-US" w:eastAsia="zh-CN"/>
        </w:rPr>
        <w:t>在先期处置基础上，继续做好现场污染处置工作。现场处置方案包括但不限于以下内容：应急监测、污染处置措施、物资调集、应急队伍和人员安排、供水单位应对等。</w:t>
      </w:r>
    </w:p>
    <w:p w14:paraId="1A072295">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.1水源地突发环境事件的污染处置措施</w:t>
      </w:r>
    </w:p>
    <w:p w14:paraId="4B3CF9A3">
      <w:pPr>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default"/>
          <w:highlight w:val="none"/>
          <w:lang w:val="en-US" w:eastAsia="zh-CN"/>
        </w:rPr>
        <w:t>根据汾阳市</w:t>
      </w:r>
      <w:r>
        <w:rPr>
          <w:rFonts w:hint="eastAsia"/>
          <w:highlight w:val="none"/>
          <w:lang w:val="en-US" w:eastAsia="zh-CN"/>
        </w:rPr>
        <w:t>10</w:t>
      </w:r>
      <w:r>
        <w:rPr>
          <w:rFonts w:hint="default"/>
          <w:highlight w:val="none"/>
          <w:lang w:val="en-US" w:eastAsia="zh-CN"/>
        </w:rPr>
        <w:t>处</w:t>
      </w:r>
      <w:r>
        <w:rPr>
          <w:rFonts w:hint="eastAsia"/>
          <w:highlight w:val="none"/>
          <w:lang w:val="en-US" w:eastAsia="zh-CN"/>
        </w:rPr>
        <w:t>乡镇集中式</w:t>
      </w:r>
      <w:r>
        <w:rPr>
          <w:rFonts w:hint="default"/>
          <w:highlight w:val="none"/>
          <w:lang w:val="en-US" w:eastAsia="zh-CN"/>
        </w:rPr>
        <w:t>饮用水水源周边环境调查，</w:t>
      </w:r>
      <w:r>
        <w:rPr>
          <w:rFonts w:hint="eastAsia"/>
          <w:highlight w:val="none"/>
          <w:lang w:val="en-US" w:eastAsia="zh-CN"/>
        </w:rPr>
        <w:t>各</w:t>
      </w:r>
      <w:r>
        <w:rPr>
          <w:rFonts w:hint="default"/>
          <w:highlight w:val="none"/>
          <w:lang w:val="en-US" w:eastAsia="zh-CN"/>
        </w:rPr>
        <w:t>水源地可能发生周边企业发生爆炸和火灾导致洗消废水泄露污染事件、危化品运输泄漏污染事件、生活垃圾、畜禽粪便、生活污水等生活污染源不合理排放引发水体污染事件和林地与耕地中施用化肥及农药随地表径流流失，引起饮用水污染事件等，根据实际情况，结合专家组意见进行应对。</w:t>
      </w:r>
    </w:p>
    <w:p w14:paraId="47E0BFDF">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2.2</w:t>
      </w:r>
      <w:r>
        <w:rPr>
          <w:rFonts w:hint="default"/>
          <w:highlight w:val="none"/>
          <w:lang w:val="en-US" w:eastAsia="zh-CN"/>
        </w:rPr>
        <w:t>水源地突发环境事件处理方案</w:t>
      </w:r>
    </w:p>
    <w:p w14:paraId="73EEE6EA">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油品及危化品泄漏处置方案</w:t>
      </w:r>
    </w:p>
    <w:p w14:paraId="3A7FE42A">
      <w:pPr>
        <w:rPr>
          <w:rFonts w:hint="default"/>
          <w:highlight w:val="none"/>
          <w:lang w:val="en-US" w:eastAsia="zh-CN"/>
        </w:rPr>
      </w:pPr>
      <w:r>
        <w:rPr>
          <w:rFonts w:hint="default"/>
          <w:highlight w:val="none"/>
          <w:lang w:val="en-US" w:eastAsia="zh-CN"/>
        </w:rPr>
        <w:t>A目击者或驾驶者及时拨打123</w:t>
      </w:r>
      <w:r>
        <w:rPr>
          <w:rFonts w:hint="eastAsia"/>
          <w:highlight w:val="none"/>
          <w:lang w:val="en-US" w:eastAsia="zh-CN"/>
        </w:rPr>
        <w:t>45</w:t>
      </w:r>
      <w:r>
        <w:rPr>
          <w:rFonts w:hint="default"/>
          <w:highlight w:val="none"/>
          <w:lang w:val="en-US" w:eastAsia="zh-CN"/>
        </w:rPr>
        <w:t>，把情况如实上报给水源管理部门后，在条件允许情况下采取一定的应急措施，并让周围人员撤离出150m之外，并在现场周围设置安全警示标志，提示过往行人和车辆注意避让；</w:t>
      </w:r>
    </w:p>
    <w:p w14:paraId="6D3EA1BB">
      <w:pPr>
        <w:rPr>
          <w:rFonts w:hint="default"/>
          <w:highlight w:val="none"/>
          <w:lang w:val="en-US" w:eastAsia="zh-CN"/>
        </w:rPr>
      </w:pPr>
      <w:r>
        <w:rPr>
          <w:rFonts w:hint="default"/>
          <w:highlight w:val="none"/>
          <w:lang w:val="en-US" w:eastAsia="zh-CN"/>
        </w:rPr>
        <w:t>B驾驶油品储罐车辆人员查看车辆和罐体损坏及现场周边情况。条件允许时，迅速将车辆驶离水源地保护区之外，或直接就近将车停于空旷、低洼地点实施关闭紧急制动阀，紧急封堵；</w:t>
      </w:r>
    </w:p>
    <w:p w14:paraId="12167E7E">
      <w:pPr>
        <w:rPr>
          <w:rFonts w:hint="default"/>
          <w:highlight w:val="none"/>
          <w:lang w:val="en-US" w:eastAsia="zh-CN"/>
        </w:rPr>
      </w:pPr>
      <w:r>
        <w:rPr>
          <w:rFonts w:hint="default"/>
          <w:highlight w:val="none"/>
          <w:lang w:val="en-US" w:eastAsia="zh-CN"/>
        </w:rPr>
        <w:t>C如车辆上配备有容器或吸油海绵等应急器材和防护用品，驾驶员及随行人员应立即对泄漏油品采取收集措施，减少油品渗入土壤的几率，同时尽可能调集空储罐进行倒罐；</w:t>
      </w:r>
    </w:p>
    <w:p w14:paraId="3E88E393">
      <w:pPr>
        <w:rPr>
          <w:rFonts w:hint="default"/>
          <w:highlight w:val="none"/>
          <w:lang w:val="en-US" w:eastAsia="zh-CN"/>
        </w:rPr>
      </w:pPr>
      <w:r>
        <w:rPr>
          <w:rFonts w:hint="default"/>
          <w:highlight w:val="none"/>
          <w:lang w:val="en-US" w:eastAsia="zh-CN"/>
        </w:rPr>
        <w:t>D同时利用道路两旁的排水明渠，将泄漏油品截留在此处，再收集、吸附。</w:t>
      </w:r>
    </w:p>
    <w:p w14:paraId="295392D8">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生活垃圾、畜禽粪便、生活污水等生活污染源不合理排放引发水体污染事件现场处置方案此类生活源引发的污染并非是突发引起的，有累积效应。因此该污染事件主要依靠吕梁市生态环境局汾阳分局、汾阳市城乡建设和交通运输局、汾阳市农业农村和水利局等相关部门进行日常管理与监管。如引发污染事件，处置方案主要从以下方面进行管控：</w:t>
      </w:r>
    </w:p>
    <w:p w14:paraId="4C45549B">
      <w:pPr>
        <w:rPr>
          <w:rFonts w:hint="default"/>
          <w:highlight w:val="none"/>
          <w:lang w:val="en-US" w:eastAsia="zh-CN"/>
        </w:rPr>
      </w:pPr>
      <w:r>
        <w:rPr>
          <w:rFonts w:hint="default"/>
          <w:highlight w:val="none"/>
          <w:lang w:val="en-US" w:eastAsia="zh-CN"/>
        </w:rPr>
        <w:t>A加强源头管理，对生活污染源进行规范化处理，处理后的中水采取回用方式，避免外排。</w:t>
      </w:r>
    </w:p>
    <w:p w14:paraId="0147102B">
      <w:pPr>
        <w:rPr>
          <w:rFonts w:hint="default"/>
          <w:highlight w:val="none"/>
          <w:lang w:val="en-US" w:eastAsia="zh-CN"/>
        </w:rPr>
      </w:pPr>
      <w:r>
        <w:rPr>
          <w:rFonts w:hint="default"/>
          <w:highlight w:val="none"/>
          <w:lang w:val="en-US" w:eastAsia="zh-CN"/>
        </w:rPr>
        <w:t>B加强水源水质监测指标控制。一旦发现水质指标波动异常，采取污染控制措施，并查找污染源。</w:t>
      </w:r>
    </w:p>
    <w:p w14:paraId="2BCAEA1E">
      <w:pPr>
        <w:rPr>
          <w:rFonts w:hint="default"/>
          <w:highlight w:val="none"/>
          <w:lang w:val="en-US" w:eastAsia="zh-CN"/>
        </w:rPr>
      </w:pPr>
      <w:r>
        <w:rPr>
          <w:rFonts w:hint="default"/>
          <w:highlight w:val="none"/>
          <w:lang w:val="en-US" w:eastAsia="zh-CN"/>
        </w:rPr>
        <w:t>C开展污染源排查，并根据污染源类别采取相应措施。具体根据实际情况，结合专家组意见进行应对。</w:t>
      </w:r>
    </w:p>
    <w:p w14:paraId="46CCB5D6">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林地与耕地中施用化肥及农药随地表径流流失，引起饮用水污染事件处置方案施用化肥及农药引发的污染并非是由长期累积效应所产生的。因此该污染事件主要依靠汾阳市农业农村和水利局管理部门进行日常管理与监管。处置方案主要以管理为主，可从以下方面进行管控：</w:t>
      </w:r>
    </w:p>
    <w:p w14:paraId="77E16CA8">
      <w:pPr>
        <w:rPr>
          <w:rFonts w:hint="default"/>
          <w:highlight w:val="none"/>
          <w:lang w:val="en-US" w:eastAsia="zh-CN"/>
        </w:rPr>
      </w:pPr>
      <w:r>
        <w:rPr>
          <w:rFonts w:hint="default"/>
          <w:highlight w:val="none"/>
          <w:lang w:val="en-US" w:eastAsia="zh-CN"/>
        </w:rPr>
        <w:t>A加强源头管理，提倡保护区内林地与耕地采用有机肥，减少农药、化肥使用，并逐步退出使用。</w:t>
      </w:r>
    </w:p>
    <w:p w14:paraId="0D9C63C8">
      <w:pPr>
        <w:rPr>
          <w:rFonts w:hint="default"/>
          <w:highlight w:val="none"/>
          <w:lang w:val="en-US" w:eastAsia="zh-CN"/>
        </w:rPr>
      </w:pPr>
      <w:r>
        <w:rPr>
          <w:rFonts w:hint="default"/>
          <w:highlight w:val="none"/>
          <w:lang w:val="en-US" w:eastAsia="zh-CN"/>
        </w:rPr>
        <w:t>B排查耕地和林地，并根据污染类别采取相应管控措施。</w:t>
      </w:r>
    </w:p>
    <w:p w14:paraId="30E28859">
      <w:pPr>
        <w:rPr>
          <w:rFonts w:hint="default"/>
          <w:highlight w:val="none"/>
          <w:lang w:val="en-US" w:eastAsia="zh-CN"/>
        </w:rPr>
      </w:pPr>
      <w:r>
        <w:rPr>
          <w:rFonts w:hint="default"/>
          <w:highlight w:val="none"/>
          <w:lang w:val="en-US" w:eastAsia="zh-CN"/>
        </w:rPr>
        <w:t>具体根据实际情况，结合专家组意见进行应对。</w:t>
      </w:r>
    </w:p>
    <w:p w14:paraId="2059C25F">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道路应急防护方案</w:t>
      </w:r>
    </w:p>
    <w:p w14:paraId="6BF990F3">
      <w:pPr>
        <w:rPr>
          <w:rFonts w:hint="default"/>
          <w:highlight w:val="none"/>
          <w:lang w:val="en-US" w:eastAsia="zh-CN"/>
        </w:rPr>
      </w:pPr>
      <w:r>
        <w:rPr>
          <w:rFonts w:hint="default"/>
          <w:highlight w:val="none"/>
          <w:lang w:val="en-US" w:eastAsia="zh-CN"/>
        </w:rPr>
        <w:t>道路运输风险物质泄漏见以上风险物质泄漏处置措施，道路防护重在日常风险防控，道路穿越一级保护区的路段，应设置防撞护栏，道路两侧设置泄漏物质导流槽、应急收集池，用于事故状态下泄漏物质的导流收集，避免风险物质直接接触水源保护区土壤，降低水源污染可能。</w:t>
      </w:r>
    </w:p>
    <w:p w14:paraId="4AF8DF37">
      <w:pPr>
        <w:rPr>
          <w:rFonts w:hint="default"/>
          <w:highlight w:val="none"/>
          <w:lang w:val="en-US" w:eastAsia="zh-CN"/>
        </w:rPr>
      </w:pPr>
      <w:r>
        <w:rPr>
          <w:rFonts w:hint="default"/>
          <w:highlight w:val="none"/>
          <w:lang w:val="en-US" w:eastAsia="zh-CN"/>
        </w:rPr>
        <w:t>5</w:t>
      </w:r>
      <w:r>
        <w:rPr>
          <w:rFonts w:hint="eastAsia"/>
          <w:highlight w:val="none"/>
          <w:lang w:val="en-US" w:eastAsia="zh-CN"/>
        </w:rPr>
        <w:t>.</w:t>
      </w:r>
      <w:r>
        <w:rPr>
          <w:rFonts w:hint="default"/>
          <w:highlight w:val="none"/>
          <w:lang w:val="en-US" w:eastAsia="zh-CN"/>
        </w:rPr>
        <w:t>供水系统及其他污染应对措施</w:t>
      </w:r>
    </w:p>
    <w:p w14:paraId="4DEE5C60">
      <w:pPr>
        <w:rPr>
          <w:rFonts w:hint="default"/>
          <w:highlight w:val="none"/>
          <w:lang w:val="en-US" w:eastAsia="zh-CN"/>
        </w:rPr>
      </w:pPr>
      <w:r>
        <w:rPr>
          <w:rFonts w:hint="default"/>
          <w:highlight w:val="none"/>
          <w:lang w:val="en-US" w:eastAsia="zh-CN"/>
        </w:rPr>
        <w:t>要建立应急监测信息通报制度，水源管理员每天向供水站上报水源突发情况，供水站接到通知后，立即采取应对措施，启动供水应急预案。</w:t>
      </w:r>
    </w:p>
    <w:p w14:paraId="6A634951">
      <w:pPr>
        <w:bidi w:val="0"/>
        <w:rPr>
          <w:rFonts w:hint="default"/>
          <w:lang w:val="en-US" w:eastAsia="zh-CN"/>
        </w:rPr>
      </w:pPr>
      <w:r>
        <w:rPr>
          <w:rFonts w:hint="default"/>
          <w:lang w:val="en-US" w:eastAsia="zh-CN"/>
        </w:rPr>
        <w:t>应急监测或事态研判过程中，发现或判定污染物已扩散至饮用水水源地，</w:t>
      </w:r>
      <w:r>
        <w:rPr>
          <w:rFonts w:hint="eastAsia"/>
          <w:lang w:val="en-US" w:eastAsia="zh-CN"/>
        </w:rPr>
        <w:t>汾阳市人民</w:t>
      </w:r>
      <w:r>
        <w:rPr>
          <w:rFonts w:hint="default"/>
          <w:lang w:val="en-US" w:eastAsia="zh-CN"/>
        </w:rPr>
        <w:t>政府、汾阳市农业农村</w:t>
      </w:r>
      <w:r>
        <w:rPr>
          <w:rFonts w:hint="eastAsia"/>
          <w:lang w:val="en-US" w:eastAsia="zh-CN"/>
        </w:rPr>
        <w:t>、</w:t>
      </w:r>
      <w:r>
        <w:rPr>
          <w:rFonts w:hint="default"/>
          <w:lang w:val="en-US" w:eastAsia="zh-CN"/>
        </w:rPr>
        <w:t>汾阳市水利局、吕梁市生态环境局汾阳分局等相关部门则立即要求停止取水，使用应急输供水车等设施保障居民用水。</w:t>
      </w:r>
    </w:p>
    <w:p w14:paraId="554F43FC">
      <w:pPr>
        <w:pStyle w:val="3"/>
        <w:bidi w:val="0"/>
        <w:rPr>
          <w:rFonts w:hint="default"/>
          <w:lang w:val="en-US" w:eastAsia="zh-CN"/>
        </w:rPr>
      </w:pPr>
      <w:bookmarkStart w:id="75" w:name="_Toc21736"/>
      <w:r>
        <w:rPr>
          <w:rFonts w:hint="default"/>
          <w:lang w:val="en-US" w:eastAsia="zh-CN"/>
        </w:rPr>
        <w:t>4.12 信息公开与发布</w:t>
      </w:r>
      <w:bookmarkEnd w:id="72"/>
      <w:bookmarkEnd w:id="75"/>
      <w:r>
        <w:rPr>
          <w:rFonts w:hint="default"/>
          <w:lang w:val="en-US" w:eastAsia="zh-CN"/>
        </w:rPr>
        <w:t xml:space="preserve"> </w:t>
      </w:r>
    </w:p>
    <w:p w14:paraId="40CAEF2F">
      <w:pPr>
        <w:pStyle w:val="4"/>
        <w:bidi w:val="0"/>
        <w:rPr>
          <w:rFonts w:hint="default"/>
          <w:lang w:val="en-US" w:eastAsia="zh-CN"/>
        </w:rPr>
      </w:pPr>
      <w:bookmarkStart w:id="76" w:name="_Toc12041"/>
      <w:r>
        <w:rPr>
          <w:rFonts w:hint="default"/>
          <w:lang w:val="en-US" w:eastAsia="zh-CN"/>
        </w:rPr>
        <w:t>4.12.1舆情监测</w:t>
      </w:r>
      <w:bookmarkEnd w:id="76"/>
      <w:r>
        <w:rPr>
          <w:rFonts w:hint="default"/>
          <w:lang w:val="en-US" w:eastAsia="zh-CN"/>
        </w:rPr>
        <w:t xml:space="preserve"> </w:t>
      </w:r>
    </w:p>
    <w:p w14:paraId="11178A1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由宣传报道组开展舆情监测工作，负责舆情信息的收集分析、信息公开，分析热点信息、敏感信息、大众关注方向、关注度、突发事件分析统计等，据此开展事件的公开工作。 </w:t>
      </w:r>
    </w:p>
    <w:p w14:paraId="213531A7">
      <w:pPr>
        <w:pStyle w:val="4"/>
        <w:bidi w:val="0"/>
        <w:rPr>
          <w:rFonts w:hint="default"/>
          <w:lang w:val="en-US" w:eastAsia="zh-CN"/>
        </w:rPr>
      </w:pPr>
      <w:bookmarkStart w:id="77" w:name="_Toc122"/>
      <w:r>
        <w:rPr>
          <w:rFonts w:hint="default"/>
          <w:lang w:val="en-US" w:eastAsia="zh-CN"/>
        </w:rPr>
        <w:t>4.12.2公开方式</w:t>
      </w:r>
      <w:bookmarkEnd w:id="77"/>
      <w:r>
        <w:rPr>
          <w:rFonts w:hint="default"/>
          <w:lang w:val="en-US" w:eastAsia="zh-CN"/>
        </w:rPr>
        <w:t xml:space="preserve"> </w:t>
      </w:r>
    </w:p>
    <w:p w14:paraId="585247C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通过</w:t>
      </w:r>
      <w:r>
        <w:rPr>
          <w:rFonts w:hint="eastAsia" w:cs="Times New Roman"/>
          <w:sz w:val="28"/>
          <w:szCs w:val="28"/>
          <w:lang w:eastAsia="zh-CN"/>
        </w:rPr>
        <w:t>汾阳市人民政府</w:t>
      </w:r>
      <w:r>
        <w:rPr>
          <w:rFonts w:hint="default" w:ascii="Times New Roman" w:hAnsi="Times New Roman" w:eastAsia="仿宋" w:cs="Times New Roman"/>
          <w:sz w:val="28"/>
          <w:szCs w:val="28"/>
        </w:rPr>
        <w:t>授权发布、发新闻稿、接受记者采访、举行新闻发布会、组织专家解读等方式，借助电视、广播、报纸、互联网等多种途径，主动、及时、准确、客观向社会发布集中式饮用水水源地突发环境事件和应对工作信息，回应社会关切，澄清不实信息，正确引导社会舆论。信息发布内容包括事件原因、污染程度、影响范围、应对措施、需要公众配合采取的措施、公众防范常识和事件调查处理进展情况等。加强舆情监测，做好舆论引导工作。对于较复杂的事件，可分阶段发布。对于跨行政区域的集中式饮用水水源地突发环境事件，可由</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 xml:space="preserve">人民政府发布。 </w:t>
      </w:r>
    </w:p>
    <w:p w14:paraId="063E7D73">
      <w:pPr>
        <w:pStyle w:val="4"/>
        <w:bidi w:val="0"/>
        <w:rPr>
          <w:rFonts w:hint="default"/>
          <w:lang w:val="en-US" w:eastAsia="zh-CN"/>
        </w:rPr>
      </w:pPr>
      <w:bookmarkStart w:id="78" w:name="_Toc14229"/>
      <w:r>
        <w:rPr>
          <w:rFonts w:hint="default"/>
          <w:lang w:val="en-US" w:eastAsia="zh-CN"/>
        </w:rPr>
        <w:t>4.12.3发布的主要内容</w:t>
      </w:r>
      <w:bookmarkEnd w:id="78"/>
      <w:r>
        <w:rPr>
          <w:rFonts w:hint="default"/>
          <w:lang w:val="en-US" w:eastAsia="zh-CN"/>
        </w:rPr>
        <w:t xml:space="preserve"> </w:t>
      </w:r>
    </w:p>
    <w:p w14:paraId="4BC57B5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一般发布内容包括以下内容。 </w:t>
      </w:r>
    </w:p>
    <w:p w14:paraId="4DB4D5A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）发生事故的单位名称和地址。 </w:t>
      </w:r>
    </w:p>
    <w:p w14:paraId="7F97AF5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）事件发生时间或预期持续时间。 </w:t>
      </w:r>
    </w:p>
    <w:p w14:paraId="0BE9267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）事件类型（分为固定源、流动源和非点源等突发环境事件）、起因和性质。 </w:t>
      </w:r>
    </w:p>
    <w:p w14:paraId="0DB482E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）事件影响的当前状况和发展趋势，已采取的措施。</w:t>
      </w:r>
    </w:p>
    <w:p w14:paraId="0502F54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（5）提醒公众应注意的防范措施，紧急情况的热线电话及其它必要信息。 </w:t>
      </w:r>
    </w:p>
    <w:p w14:paraId="323E2E09">
      <w:pPr>
        <w:pStyle w:val="3"/>
        <w:bidi w:val="0"/>
        <w:rPr>
          <w:rFonts w:hint="default"/>
          <w:lang w:val="en-US" w:eastAsia="zh-CN"/>
        </w:rPr>
      </w:pPr>
      <w:bookmarkStart w:id="79" w:name="_Toc28458"/>
      <w:bookmarkStart w:id="80" w:name="_Toc29969"/>
      <w:r>
        <w:rPr>
          <w:rFonts w:hint="default"/>
          <w:lang w:val="en-US" w:eastAsia="zh-CN"/>
        </w:rPr>
        <w:t>4.</w:t>
      </w:r>
      <w:r>
        <w:rPr>
          <w:rFonts w:hint="eastAsia"/>
          <w:lang w:val="en-US" w:eastAsia="zh-CN"/>
        </w:rPr>
        <w:t>13</w:t>
      </w:r>
      <w:r>
        <w:rPr>
          <w:rFonts w:hint="default"/>
          <w:lang w:val="en-US" w:eastAsia="zh-CN"/>
        </w:rPr>
        <w:t>响应终止</w:t>
      </w:r>
      <w:bookmarkEnd w:id="79"/>
      <w:bookmarkEnd w:id="80"/>
      <w:r>
        <w:rPr>
          <w:rFonts w:hint="default"/>
          <w:lang w:val="en-US" w:eastAsia="zh-CN"/>
        </w:rPr>
        <w:t xml:space="preserve"> </w:t>
      </w:r>
    </w:p>
    <w:p w14:paraId="0A38D109">
      <w:pPr>
        <w:pStyle w:val="4"/>
        <w:bidi w:val="0"/>
        <w:rPr>
          <w:rFonts w:hint="default"/>
          <w:lang w:val="en-US" w:eastAsia="zh-CN"/>
        </w:rPr>
      </w:pPr>
      <w:bookmarkStart w:id="81" w:name="_Toc21545"/>
      <w:r>
        <w:rPr>
          <w:rFonts w:hint="default"/>
          <w:lang w:val="en-US" w:eastAsia="zh-CN"/>
        </w:rPr>
        <w:t>4.</w:t>
      </w:r>
      <w:r>
        <w:rPr>
          <w:rFonts w:hint="eastAsia"/>
          <w:lang w:val="en-US" w:eastAsia="zh-CN"/>
        </w:rPr>
        <w:t>13</w:t>
      </w:r>
      <w:r>
        <w:rPr>
          <w:rFonts w:hint="default"/>
          <w:lang w:val="en-US" w:eastAsia="zh-CN"/>
        </w:rPr>
        <w:t>.1 应急响应终止条件</w:t>
      </w:r>
      <w:bookmarkEnd w:id="81"/>
      <w:r>
        <w:rPr>
          <w:rFonts w:hint="default"/>
          <w:lang w:val="en-US" w:eastAsia="zh-CN"/>
        </w:rPr>
        <w:t xml:space="preserve"> </w:t>
      </w:r>
    </w:p>
    <w:p w14:paraId="226D8C6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如符合下列情形之一的，应急响应终止： </w:t>
      </w:r>
    </w:p>
    <w:p w14:paraId="58DB146B">
      <w:pPr>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进入水源保护区范围的污染物已成功围堵，且清运至水源保护区外，未向水源地保护区扩散时；</w:t>
      </w:r>
    </w:p>
    <w:p w14:paraId="66FEEA81">
      <w:pPr>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进入水源保护区范围的污染团已成功拦截或导流至水源保护区外，没有向水源地扩散的风险，且水质监测结果稳定达标； </w:t>
      </w:r>
    </w:p>
    <w:p w14:paraId="5365C7B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（3）恢复正常取水时。 </w:t>
      </w:r>
    </w:p>
    <w:p w14:paraId="414F21A9">
      <w:pPr>
        <w:pStyle w:val="4"/>
        <w:bidi w:val="0"/>
        <w:rPr>
          <w:rFonts w:hint="default"/>
          <w:lang w:val="en-US" w:eastAsia="zh-CN"/>
        </w:rPr>
      </w:pPr>
      <w:bookmarkStart w:id="82" w:name="_Toc23201"/>
      <w:r>
        <w:rPr>
          <w:rFonts w:hint="default"/>
          <w:lang w:val="en-US" w:eastAsia="zh-CN"/>
        </w:rPr>
        <w:t>4.</w:t>
      </w:r>
      <w:r>
        <w:rPr>
          <w:rFonts w:hint="eastAsia"/>
          <w:lang w:val="en-US" w:eastAsia="zh-CN"/>
        </w:rPr>
        <w:t>13</w:t>
      </w:r>
      <w:r>
        <w:rPr>
          <w:rFonts w:hint="default"/>
          <w:lang w:val="en-US" w:eastAsia="zh-CN"/>
        </w:rPr>
        <w:t>.2 应急响应终止程序</w:t>
      </w:r>
      <w:bookmarkEnd w:id="82"/>
      <w:r>
        <w:rPr>
          <w:rFonts w:hint="default"/>
          <w:lang w:val="en-US" w:eastAsia="zh-CN"/>
        </w:rPr>
        <w:t xml:space="preserve"> </w:t>
      </w:r>
    </w:p>
    <w:p w14:paraId="16A5062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 xml:space="preserve">饮用水水源地突发环境事件应急响应终止应按照以下程序进行： </w:t>
      </w:r>
    </w:p>
    <w:p w14:paraId="471B2CF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）应急指挥部办公室根据应急监测、事件处置情况，确认事件已具备应急终止条件后，提出应急响应终止建议，报应急指挥部批准。 </w:t>
      </w:r>
    </w:p>
    <w:p w14:paraId="2D80AC6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）应急指挥部办公室可通过电话、电视、网络等媒体向社会发布应急响应终止信息。现场应急指挥部接到应急指挥部的应急响应终止通知后，宣布终止应急状态，转入正常工作。 </w:t>
      </w:r>
    </w:p>
    <w:p w14:paraId="5782D85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）应急终止后，</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根据应急指挥部有关指示和实际情况，继续进行监测、监控和评估，直至本次事件的影响完全消除。 </w:t>
      </w:r>
    </w:p>
    <w:p w14:paraId="60DBA2A7">
      <w:pPr>
        <w:pStyle w:val="2"/>
        <w:bidi w:val="0"/>
        <w:rPr>
          <w:rFonts w:hint="default"/>
        </w:rPr>
      </w:pPr>
      <w:bookmarkStart w:id="83" w:name="_Toc20353"/>
      <w:bookmarkStart w:id="84" w:name="_Toc23756"/>
      <w:r>
        <w:rPr>
          <w:rFonts w:hint="default"/>
        </w:rPr>
        <w:t>第五章</w:t>
      </w:r>
      <w:r>
        <w:rPr>
          <w:rFonts w:hint="default"/>
          <w:lang w:val="en-US" w:eastAsia="zh-CN"/>
        </w:rPr>
        <w:t xml:space="preserve"> </w:t>
      </w:r>
      <w:r>
        <w:rPr>
          <w:rFonts w:hint="default"/>
        </w:rPr>
        <w:t>后期工作</w:t>
      </w:r>
      <w:bookmarkEnd w:id="83"/>
      <w:bookmarkEnd w:id="84"/>
    </w:p>
    <w:p w14:paraId="54A1056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饮用水水源地突发环境事件应急终止后，由</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制定善后污染防控内容和工作要点，根据不同污染类型，组织开展善后处置工作，包括后期防控、事件调查，</w:t>
      </w:r>
      <w:r>
        <w:rPr>
          <w:rFonts w:hint="eastAsia" w:cs="Times New Roman"/>
          <w:sz w:val="28"/>
          <w:szCs w:val="28"/>
          <w:lang w:val="en-US" w:eastAsia="zh-CN"/>
        </w:rPr>
        <w:t>损</w:t>
      </w:r>
      <w:r>
        <w:rPr>
          <w:rFonts w:hint="default" w:ascii="Times New Roman" w:hAnsi="Times New Roman" w:eastAsia="仿宋" w:cs="Times New Roman"/>
          <w:sz w:val="28"/>
          <w:szCs w:val="28"/>
        </w:rPr>
        <w:t xml:space="preserve">害评估和善后处置等工作。 </w:t>
      </w:r>
    </w:p>
    <w:p w14:paraId="5B9FAE80">
      <w:pPr>
        <w:pStyle w:val="3"/>
        <w:bidi w:val="0"/>
        <w:rPr>
          <w:rFonts w:hint="default"/>
          <w:lang w:val="en-US" w:eastAsia="zh-CN"/>
        </w:rPr>
      </w:pPr>
      <w:bookmarkStart w:id="85" w:name="_Toc13255"/>
      <w:bookmarkStart w:id="86" w:name="_Toc967"/>
      <w:r>
        <w:rPr>
          <w:rFonts w:hint="default"/>
          <w:lang w:val="en-US" w:eastAsia="zh-CN"/>
        </w:rPr>
        <w:t>5.1后期防控</w:t>
      </w:r>
      <w:bookmarkEnd w:id="85"/>
      <w:bookmarkEnd w:id="86"/>
      <w:r>
        <w:rPr>
          <w:rFonts w:hint="default"/>
          <w:lang w:val="en-US" w:eastAsia="zh-CN"/>
        </w:rPr>
        <w:t xml:space="preserve"> </w:t>
      </w:r>
    </w:p>
    <w:p w14:paraId="74544F3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宣布应急响应终止后，</w:t>
      </w:r>
      <w:r>
        <w:rPr>
          <w:rFonts w:hint="eastAsia"/>
          <w:lang w:eastAsia="zh-CN"/>
        </w:rPr>
        <w:t>汾阳市1</w:t>
      </w:r>
      <w:r>
        <w:rPr>
          <w:rFonts w:hint="eastAsia"/>
          <w:lang w:val="en-US" w:eastAsia="zh-CN"/>
        </w:rPr>
        <w:t>0</w:t>
      </w:r>
      <w:r>
        <w:rPr>
          <w:rFonts w:hint="eastAsia"/>
          <w:lang w:eastAsia="zh-CN"/>
        </w:rPr>
        <w:t>处乡镇集中式饮用水水源地</w:t>
      </w:r>
      <w:r>
        <w:rPr>
          <w:rFonts w:hint="default" w:ascii="Times New Roman" w:hAnsi="Times New Roman" w:eastAsia="仿宋" w:cs="Times New Roman"/>
          <w:sz w:val="28"/>
          <w:szCs w:val="28"/>
        </w:rPr>
        <w:t xml:space="preserve">应急指挥部要组织现场应急工作组继续保持或采取必要措施，包括对泄漏的油品、化学品进行回收；部分污染物导流到饮用水水源地下游或其它区域，对这些区域的污染物进行清除；组织进行后期污染监测和治理，消除污染物的残留毒性和后期效应；在事故场地及蔓延区域的污染物清理后，对其土壤或水生态系统进行修复等。防止发生次生、衍生事故发生。同时在总指挥和上级部门的统一领导下，根据事故损失情况，制定救助、补偿、抚慰、安置等方案及恢复重建计划，做好各项善后工作，并配合开展环境损害评估、赔偿、事件调查处理等。 </w:t>
      </w:r>
    </w:p>
    <w:p w14:paraId="64C73F0E">
      <w:pPr>
        <w:pStyle w:val="3"/>
        <w:bidi w:val="0"/>
        <w:rPr>
          <w:rFonts w:hint="default"/>
          <w:lang w:val="en-US" w:eastAsia="zh-CN"/>
        </w:rPr>
      </w:pPr>
      <w:bookmarkStart w:id="87" w:name="_Toc2282"/>
      <w:bookmarkStart w:id="88" w:name="_Toc31702"/>
      <w:r>
        <w:rPr>
          <w:rFonts w:hint="default"/>
          <w:lang w:val="en-US" w:eastAsia="zh-CN"/>
        </w:rPr>
        <w:t>5.2事件调查</w:t>
      </w:r>
      <w:bookmarkEnd w:id="87"/>
      <w:bookmarkEnd w:id="88"/>
      <w:r>
        <w:rPr>
          <w:rFonts w:hint="default"/>
          <w:lang w:val="en-US" w:eastAsia="zh-CN"/>
        </w:rPr>
        <w:t xml:space="preserve"> </w:t>
      </w:r>
    </w:p>
    <w:p w14:paraId="48D573B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突发环境事件发生后，由</w:t>
      </w:r>
      <w:r>
        <w:rPr>
          <w:rFonts w:hint="eastAsia" w:cs="Times New Roman"/>
          <w:sz w:val="28"/>
          <w:szCs w:val="28"/>
          <w:lang w:val="en-US" w:eastAsia="zh-CN"/>
        </w:rPr>
        <w:t>各乡镇人民政府</w:t>
      </w:r>
      <w:r>
        <w:rPr>
          <w:rFonts w:hint="default" w:ascii="Times New Roman" w:hAnsi="Times New Roman" w:eastAsia="仿宋" w:cs="Times New Roman"/>
          <w:sz w:val="28"/>
          <w:szCs w:val="28"/>
        </w:rPr>
        <w:t>牵头组织开展事件调查。</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 xml:space="preserve">分局认为需要由上一级环境保护主管部门调查处理的，可以报请上一级环境保护主管部门决定。 </w:t>
      </w:r>
    </w:p>
    <w:p w14:paraId="56EECCD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突发环境事件调查应当遵循实事求是、客观公正、权责一致的原则，通过对监测数据进行污染源分析、明察暗访等方式及时准确查明事件原因，确认事件性质，认定事件责任，总结事件教训，提出防范和整改措施建议以及处理意见，形成调查报告。 </w:t>
      </w:r>
    </w:p>
    <w:p w14:paraId="5DC0966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突发环境事件调查报告应当包括下列内容： </w:t>
      </w:r>
    </w:p>
    <w:p w14:paraId="1F52B01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①突发环境事件发生单位的概况和突发环境事件发生经过； </w:t>
      </w:r>
    </w:p>
    <w:p w14:paraId="0747A73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②</w:t>
      </w:r>
      <w:r>
        <w:rPr>
          <w:rFonts w:hint="default" w:ascii="Times New Roman" w:hAnsi="Times New Roman" w:eastAsia="仿宋" w:cs="Times New Roman"/>
          <w:sz w:val="28"/>
          <w:szCs w:val="28"/>
        </w:rPr>
        <w:t xml:space="preserve">突发环境事件造成的人身伤亡、直接经济损失，环境污染和生态破坏的情况； </w:t>
      </w:r>
    </w:p>
    <w:p w14:paraId="1621D0D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③</w:t>
      </w:r>
      <w:r>
        <w:rPr>
          <w:rFonts w:hint="default" w:ascii="Times New Roman" w:hAnsi="Times New Roman" w:eastAsia="仿宋" w:cs="Times New Roman"/>
          <w:sz w:val="28"/>
          <w:szCs w:val="28"/>
        </w:rPr>
        <w:t xml:space="preserve">突发环境事件发生的原因和性质； </w:t>
      </w:r>
    </w:p>
    <w:p w14:paraId="5222AD7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④</w:t>
      </w:r>
      <w:r>
        <w:rPr>
          <w:rFonts w:hint="default" w:ascii="Times New Roman" w:hAnsi="Times New Roman" w:eastAsia="仿宋" w:cs="Times New Roman"/>
          <w:sz w:val="28"/>
          <w:szCs w:val="28"/>
        </w:rPr>
        <w:t xml:space="preserve">突发环境事件发生单位对环境风险的防范、隐患整改和应急处置情况； </w:t>
      </w:r>
    </w:p>
    <w:p w14:paraId="31410F6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⑤</w:t>
      </w:r>
      <w:r>
        <w:rPr>
          <w:rFonts w:hint="default" w:ascii="Times New Roman" w:hAnsi="Times New Roman" w:eastAsia="仿宋" w:cs="Times New Roman"/>
          <w:sz w:val="28"/>
          <w:szCs w:val="28"/>
        </w:rPr>
        <w:t xml:space="preserve">地方政府和相关部门日常监管和应急处置情况； </w:t>
      </w:r>
    </w:p>
    <w:p w14:paraId="5DF4CB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⑥</w:t>
      </w:r>
      <w:r>
        <w:rPr>
          <w:rFonts w:hint="default" w:ascii="Times New Roman" w:hAnsi="Times New Roman" w:eastAsia="仿宋" w:cs="Times New Roman"/>
          <w:sz w:val="28"/>
          <w:szCs w:val="28"/>
        </w:rPr>
        <w:t xml:space="preserve">责任认定和对突发环境事件发生单位、责任人的处理建议； </w:t>
      </w:r>
    </w:p>
    <w:p w14:paraId="7271A39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⑦</w:t>
      </w:r>
      <w:r>
        <w:rPr>
          <w:rFonts w:hint="default" w:ascii="Times New Roman" w:hAnsi="Times New Roman" w:eastAsia="仿宋" w:cs="Times New Roman"/>
          <w:sz w:val="28"/>
          <w:szCs w:val="28"/>
        </w:rPr>
        <w:t xml:space="preserve">突发环境事件防范和整改措施建议； </w:t>
      </w:r>
    </w:p>
    <w:p w14:paraId="50A243A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⑧</w:t>
      </w:r>
      <w:r>
        <w:rPr>
          <w:rFonts w:hint="default" w:ascii="Times New Roman" w:hAnsi="Times New Roman" w:eastAsia="仿宋" w:cs="Times New Roman"/>
          <w:sz w:val="28"/>
          <w:szCs w:val="28"/>
        </w:rPr>
        <w:t xml:space="preserve">其他有必要报告的内容。重大突发环境事件的调查期限为60 日，较大突发环境事件和一般突发环境事件的调查期限为30 日。 </w:t>
      </w:r>
    </w:p>
    <w:p w14:paraId="68F57617">
      <w:pPr>
        <w:pStyle w:val="3"/>
        <w:bidi w:val="0"/>
        <w:rPr>
          <w:rFonts w:hint="default"/>
          <w:lang w:val="en-US" w:eastAsia="zh-CN"/>
        </w:rPr>
      </w:pPr>
      <w:bookmarkStart w:id="89" w:name="_Toc3471"/>
      <w:bookmarkStart w:id="90" w:name="_Toc19544"/>
      <w:r>
        <w:rPr>
          <w:rFonts w:hint="default"/>
          <w:lang w:val="en-US" w:eastAsia="zh-CN"/>
        </w:rPr>
        <w:t>5.3 损害评估</w:t>
      </w:r>
      <w:bookmarkEnd w:id="89"/>
      <w:bookmarkEnd w:id="90"/>
      <w:r>
        <w:rPr>
          <w:rFonts w:hint="default"/>
          <w:lang w:val="en-US" w:eastAsia="zh-CN"/>
        </w:rPr>
        <w:t xml:space="preserve"> </w:t>
      </w:r>
    </w:p>
    <w:p w14:paraId="356CDF5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损害评估部门由</w:t>
      </w:r>
      <w:r>
        <w:rPr>
          <w:rFonts w:hint="eastAsia" w:cs="Times New Roman"/>
          <w:sz w:val="28"/>
          <w:szCs w:val="28"/>
          <w:lang w:val="en-US" w:eastAsia="zh-CN"/>
        </w:rPr>
        <w:t>各乡镇人民政府</w:t>
      </w:r>
      <w:r>
        <w:rPr>
          <w:rFonts w:hint="default" w:ascii="Times New Roman" w:hAnsi="Times New Roman" w:eastAsia="仿宋" w:cs="Times New Roman"/>
          <w:sz w:val="28"/>
          <w:szCs w:val="28"/>
        </w:rPr>
        <w:t>委托第三方评估机构进行评估</w:t>
      </w:r>
      <w:r>
        <w:rPr>
          <w:rFonts w:hint="default" w:ascii="Times New Roman" w:hAnsi="Times New Roman" w:eastAsia="仿宋" w:cs="Times New Roman"/>
          <w:sz w:val="28"/>
          <w:szCs w:val="28"/>
          <w:lang w:eastAsia="zh-CN"/>
        </w:rPr>
        <w:t>。</w:t>
      </w:r>
    </w:p>
    <w:p w14:paraId="30B2E9E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饮用水水源地突发环境事件损害评估按照（《突发环境事件应急处置阶段污染损害评估工作程序规定》、《突发环境事件应急处置阶段环境损害评估推荐方法》、《环境损害鉴定评估推荐方法（第 II 版）》）等相关规定执行。并将评估结论向社会公开。 </w:t>
      </w:r>
    </w:p>
    <w:p w14:paraId="3AAC7CC7">
      <w:pPr>
        <w:pStyle w:val="3"/>
        <w:bidi w:val="0"/>
        <w:rPr>
          <w:rFonts w:hint="default"/>
          <w:lang w:val="en-US" w:eastAsia="zh-CN"/>
        </w:rPr>
      </w:pPr>
      <w:bookmarkStart w:id="91" w:name="_Toc29107"/>
      <w:bookmarkStart w:id="92" w:name="_Toc5539"/>
      <w:r>
        <w:rPr>
          <w:rFonts w:hint="default"/>
          <w:lang w:val="en-US" w:eastAsia="zh-CN"/>
        </w:rPr>
        <w:t>5.4 善后处置</w:t>
      </w:r>
      <w:bookmarkEnd w:id="91"/>
      <w:bookmarkEnd w:id="92"/>
      <w:r>
        <w:rPr>
          <w:rFonts w:hint="default"/>
          <w:lang w:val="en-US" w:eastAsia="zh-CN"/>
        </w:rPr>
        <w:t xml:space="preserve"> </w:t>
      </w:r>
    </w:p>
    <w:p w14:paraId="47A338D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饮用水水源地突发环境事件应急响应终止后，在</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的统一领导下，各部门要做好善后处置工作，包括损害赔偿、风险源整改和污染场地修复等。根据事件调查明确的突发环境事件责任人，由其进行赔偿，并按照损害评估估算的损害大小确定赔偿金额和方式；对于因建筑设计、工艺流程不规范，泄漏污染物堆放或处置不当等方面原因引发的事故，应对相应的设计及操作流程进行整改 </w:t>
      </w:r>
    </w:p>
    <w:p w14:paraId="56260887">
      <w:pPr>
        <w:pStyle w:val="4"/>
        <w:bidi w:val="0"/>
        <w:rPr>
          <w:rFonts w:hint="default"/>
          <w:lang w:val="en-US" w:eastAsia="zh-CN"/>
        </w:rPr>
      </w:pPr>
      <w:bookmarkStart w:id="93" w:name="_Toc18990"/>
      <w:r>
        <w:rPr>
          <w:rFonts w:hint="default"/>
          <w:lang w:val="en-US" w:eastAsia="zh-CN"/>
        </w:rPr>
        <w:t>5.4.1 损害赔偿</w:t>
      </w:r>
      <w:bookmarkEnd w:id="93"/>
      <w:r>
        <w:rPr>
          <w:rFonts w:hint="default"/>
          <w:lang w:val="en-US" w:eastAsia="zh-CN"/>
        </w:rPr>
        <w:t xml:space="preserve"> </w:t>
      </w:r>
    </w:p>
    <w:p w14:paraId="74F98299">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饮用水水源地突发事件的损失及影响应及时进行定性和定量的总结、分析、评估。应急指挥部组织</w:t>
      </w:r>
      <w:r>
        <w:rPr>
          <w:rFonts w:hint="eastAsia" w:cs="Times New Roman"/>
          <w:sz w:val="28"/>
          <w:szCs w:val="28"/>
          <w:lang w:eastAsia="zh-CN"/>
        </w:rPr>
        <w:t>相关部门</w:t>
      </w:r>
      <w:r>
        <w:rPr>
          <w:rFonts w:hint="default" w:ascii="Times New Roman" w:hAnsi="Times New Roman" w:eastAsia="仿宋" w:cs="Times New Roman"/>
          <w:sz w:val="28"/>
          <w:szCs w:val="28"/>
        </w:rPr>
        <w:t>，对应急抢险需要、调集、征用</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、企业物资的，应进行合理评估，给予补偿。对灾情损失及影响进行统计评估，出具相关的评估报告。制订补偿标准和事后恢复计划，并迅速实施。 </w:t>
      </w:r>
    </w:p>
    <w:p w14:paraId="11BEB34B">
      <w:pPr>
        <w:pStyle w:val="4"/>
        <w:bidi w:val="0"/>
        <w:rPr>
          <w:rFonts w:hint="default"/>
          <w:lang w:val="en-US" w:eastAsia="zh-CN"/>
        </w:rPr>
      </w:pPr>
      <w:bookmarkStart w:id="94" w:name="_Toc32649"/>
      <w:r>
        <w:rPr>
          <w:rFonts w:hint="default"/>
          <w:lang w:val="en-US" w:eastAsia="zh-CN"/>
        </w:rPr>
        <w:t>5.4.2 风险源整改</w:t>
      </w:r>
      <w:bookmarkEnd w:id="94"/>
    </w:p>
    <w:p w14:paraId="1B27C7B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各专业部门和专业技术人员应按照专业技术规程，做好现场污染物的收集处理工作。有关现场清理和处理工作，应根据专家对灾害事故的性质和传播范围等进行认定，由公安消防、卫生、农业等职能部门设立警戒哨，划定警戒范围，由专业部门和技术人员采取相应的方式及时进行处理，处理完毕后，有关专业部门应继续对现场情况进行监控，根据专家评估结论，再进行解除警戒。对于因建筑设计、工艺流程不规范，泄漏污染物堆放或处置不当等方面原因引发的事故，应对相应的设计及操作流程进行整改。 </w:t>
      </w:r>
    </w:p>
    <w:p w14:paraId="2828DC29">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22466E03">
      <w:pPr>
        <w:pStyle w:val="2"/>
        <w:bidi w:val="0"/>
        <w:rPr>
          <w:rFonts w:hint="default"/>
        </w:rPr>
      </w:pPr>
      <w:bookmarkStart w:id="95" w:name="_Toc6591"/>
      <w:bookmarkStart w:id="96" w:name="_Toc1227"/>
      <w:r>
        <w:rPr>
          <w:rFonts w:hint="default"/>
        </w:rPr>
        <w:t>第六章</w:t>
      </w:r>
      <w:r>
        <w:rPr>
          <w:rFonts w:hint="default"/>
          <w:lang w:val="en-US" w:eastAsia="zh-CN"/>
        </w:rPr>
        <w:t xml:space="preserve"> </w:t>
      </w:r>
      <w:r>
        <w:rPr>
          <w:rFonts w:hint="default"/>
        </w:rPr>
        <w:t>应急保障</w:t>
      </w:r>
      <w:bookmarkEnd w:id="95"/>
      <w:bookmarkEnd w:id="96"/>
    </w:p>
    <w:p w14:paraId="4FA6758E">
      <w:pPr>
        <w:pStyle w:val="3"/>
        <w:bidi w:val="0"/>
        <w:rPr>
          <w:rFonts w:hint="default"/>
          <w:lang w:val="en-US" w:eastAsia="zh-CN"/>
        </w:rPr>
      </w:pPr>
      <w:bookmarkStart w:id="97" w:name="_Toc1236"/>
      <w:bookmarkStart w:id="98" w:name="_Toc30780"/>
      <w:r>
        <w:rPr>
          <w:rFonts w:hint="default"/>
          <w:lang w:val="en-US" w:eastAsia="zh-CN"/>
        </w:rPr>
        <w:t>6.1 通信与信息保障</w:t>
      </w:r>
      <w:bookmarkEnd w:id="97"/>
      <w:bookmarkEnd w:id="98"/>
      <w:r>
        <w:rPr>
          <w:rFonts w:hint="default"/>
          <w:lang w:val="en-US" w:eastAsia="zh-CN"/>
        </w:rPr>
        <w:t xml:space="preserve"> </w:t>
      </w:r>
    </w:p>
    <w:p w14:paraId="390AA8B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应急办公室及应急工作组成员要建立完善的通讯联络系统，确保通讯畅通。应急办公室及专项工作组成员单位保持值班电话全天有人接听，并在节假日安排人员值班。电信、移动、联通等部门负责通信与信息线路的维护工作，确保通信畅通。要充分发挥信息网络系统的作用，确保应急时能够统一调动有关人员，物资迅速到位。 </w:t>
      </w:r>
    </w:p>
    <w:p w14:paraId="36872C6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负责对外发布事件信息及应急处置进展情况。应急办公室负责提供准确、权威的信息，应急指挥部组织统一发布，确保信息准确、及时传递，正确引导社会舆论。</w:t>
      </w:r>
    </w:p>
    <w:p w14:paraId="22B87B50">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事件发生的第一时间要向社会发布简要信息，随后发布初步核实情况、应对措施等，并根据事件处置情况做好后续发布工作。 </w:t>
      </w:r>
    </w:p>
    <w:p w14:paraId="5CD4FF12">
      <w:pPr>
        <w:pStyle w:val="3"/>
        <w:bidi w:val="0"/>
        <w:rPr>
          <w:rFonts w:hint="default"/>
          <w:lang w:val="en-US" w:eastAsia="zh-CN"/>
        </w:rPr>
      </w:pPr>
      <w:bookmarkStart w:id="99" w:name="_Toc411"/>
      <w:bookmarkStart w:id="100" w:name="_Toc12585"/>
      <w:r>
        <w:rPr>
          <w:rFonts w:hint="default"/>
          <w:lang w:val="en-US" w:eastAsia="zh-CN"/>
        </w:rPr>
        <w:t>6.2 应急队伍保障</w:t>
      </w:r>
      <w:bookmarkEnd w:id="99"/>
      <w:bookmarkEnd w:id="100"/>
      <w:r>
        <w:rPr>
          <w:rFonts w:hint="default"/>
          <w:lang w:val="en-US" w:eastAsia="zh-CN"/>
        </w:rPr>
        <w:t xml:space="preserve"> </w:t>
      </w:r>
    </w:p>
    <w:p w14:paraId="6804D19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、应急办公室、现场应急工作组由</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各职能部门组成，形成完善应急救援体系，确保在事件发生时，能迅速控制污染，减少对人员、生态、经济活动及水源地的危害，保证环境恢复和用水安全。 </w:t>
      </w:r>
    </w:p>
    <w:p w14:paraId="4A04D07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应每年至少对应急指挥成员单位开展一次应急队伍知识技能培训。培训内容包括信息报告、个体防护、应急资源的使用、应急监测布点方法及监测方法、应急处理方法等培，确保事发应急队伍快速应对。 </w:t>
      </w:r>
    </w:p>
    <w:p w14:paraId="599AB798">
      <w:pPr>
        <w:pStyle w:val="3"/>
        <w:bidi w:val="0"/>
        <w:rPr>
          <w:rFonts w:hint="default"/>
          <w:lang w:val="en-US" w:eastAsia="zh-CN"/>
        </w:rPr>
      </w:pPr>
      <w:bookmarkStart w:id="101" w:name="_Toc12902"/>
      <w:bookmarkStart w:id="102" w:name="_Toc10253"/>
      <w:r>
        <w:rPr>
          <w:rFonts w:hint="default"/>
          <w:lang w:val="en-US" w:eastAsia="zh-CN"/>
        </w:rPr>
        <w:t>6.3 应急资源保障</w:t>
      </w:r>
      <w:bookmarkEnd w:id="101"/>
      <w:bookmarkEnd w:id="102"/>
      <w:r>
        <w:rPr>
          <w:rFonts w:hint="default"/>
          <w:lang w:val="en-US" w:eastAsia="zh-CN"/>
        </w:rPr>
        <w:t xml:space="preserve"> </w:t>
      </w:r>
    </w:p>
    <w:p w14:paraId="155787F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要按照职责分工，做好环境应急救援物资紧急调配、储备调拨工作，保障突发环境事件应急处置和环境恢复治理工作的需要。加强对当地环境应急物资储备信息的动态管理，包括应急监测设备的调配和管理。 </w:t>
      </w:r>
    </w:p>
    <w:p w14:paraId="32D36A4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完善饮用水水源地突发环境事件应急处置物资储备库。同时利用</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级以上政府及其</w:t>
      </w:r>
      <w:r>
        <w:rPr>
          <w:rFonts w:hint="eastAsia" w:cs="Times New Roman"/>
          <w:sz w:val="28"/>
          <w:szCs w:val="28"/>
          <w:lang w:eastAsia="zh-CN"/>
        </w:rPr>
        <w:t>相关部门</w:t>
      </w:r>
      <w:r>
        <w:rPr>
          <w:rFonts w:hint="default" w:ascii="Times New Roman" w:hAnsi="Times New Roman" w:eastAsia="仿宋" w:cs="Times New Roman"/>
          <w:sz w:val="28"/>
          <w:szCs w:val="28"/>
        </w:rPr>
        <w:t>的应急物资储备，以及社会化应急物资储备，保障应急物资、生活必需品的生产和供给。物资储备应根据事件和演练经验，持续改进提高药剂、物资、装备的存放规范、应急设施的建设位置等，确保事件发生时能够快速高效的使用应急资源。</w:t>
      </w:r>
    </w:p>
    <w:p w14:paraId="19A96DB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lang w:val="en-US" w:eastAsia="zh-CN"/>
        </w:rPr>
        <w:t>应急物资配备及存放详情见</w:t>
      </w:r>
      <w:r>
        <w:rPr>
          <w:rFonts w:hint="eastAsia" w:ascii="Times New Roman" w:hAnsi="Times New Roman" w:eastAsia="仿宋" w:cs="Times New Roman"/>
          <w:sz w:val="28"/>
          <w:szCs w:val="28"/>
          <w:lang w:val="en-US" w:eastAsia="zh-CN"/>
        </w:rPr>
        <w:t>汾阳市</w:t>
      </w:r>
      <w:r>
        <w:rPr>
          <w:rFonts w:hint="default" w:ascii="Times New Roman" w:hAnsi="Times New Roman" w:eastAsia="仿宋" w:cs="Times New Roman"/>
          <w:sz w:val="28"/>
          <w:szCs w:val="28"/>
          <w:lang w:val="en-US" w:eastAsia="zh-CN"/>
        </w:rPr>
        <w:t>饮用水水源地环境应急资源调查报告。</w:t>
      </w:r>
    </w:p>
    <w:p w14:paraId="7864AD7B">
      <w:pPr>
        <w:pStyle w:val="3"/>
        <w:bidi w:val="0"/>
        <w:rPr>
          <w:rFonts w:hint="default"/>
          <w:lang w:val="en-US" w:eastAsia="zh-CN"/>
        </w:rPr>
      </w:pPr>
      <w:bookmarkStart w:id="103" w:name="_Toc18174"/>
      <w:bookmarkStart w:id="104" w:name="_Toc3109"/>
      <w:r>
        <w:rPr>
          <w:rFonts w:hint="default"/>
          <w:lang w:val="en-US" w:eastAsia="zh-CN"/>
        </w:rPr>
        <w:t>6.4 经费保障</w:t>
      </w:r>
      <w:bookmarkEnd w:id="103"/>
      <w:bookmarkEnd w:id="104"/>
      <w:r>
        <w:rPr>
          <w:rFonts w:hint="default"/>
          <w:lang w:val="en-US" w:eastAsia="zh-CN"/>
        </w:rPr>
        <w:t xml:space="preserve"> </w:t>
      </w:r>
    </w:p>
    <w:p w14:paraId="34152F2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突发环境事件应急工作费用，包括应急预案编制、演练、修订、应急物资采购等费用由</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财政预算支出。</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财政、监察和审计部门加强应急工作经费的审计和监督管理，确保专款专用等。 </w:t>
      </w:r>
    </w:p>
    <w:p w14:paraId="773A2F63">
      <w:pPr>
        <w:pStyle w:val="3"/>
        <w:bidi w:val="0"/>
        <w:rPr>
          <w:rFonts w:hint="default"/>
          <w:lang w:val="en-US" w:eastAsia="zh-CN"/>
        </w:rPr>
      </w:pPr>
      <w:bookmarkStart w:id="105" w:name="_Toc11068"/>
      <w:bookmarkStart w:id="106" w:name="_Toc4164"/>
      <w:r>
        <w:rPr>
          <w:rFonts w:hint="default"/>
          <w:lang w:val="en-US" w:eastAsia="zh-CN"/>
        </w:rPr>
        <w:t>6.5 技术保障</w:t>
      </w:r>
      <w:bookmarkEnd w:id="105"/>
      <w:bookmarkEnd w:id="106"/>
      <w:r>
        <w:rPr>
          <w:rFonts w:hint="default"/>
          <w:lang w:val="en-US" w:eastAsia="zh-CN"/>
        </w:rPr>
        <w:t xml:space="preserve"> </w:t>
      </w:r>
    </w:p>
    <w:p w14:paraId="49CCAE4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建立相关专业的专家团队为饮用水水源地突发环境事件预防和应急处置工作提供有力的技术支撑； </w:t>
      </w:r>
    </w:p>
    <w:p w14:paraId="5F52FF6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办公室和</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共同配合监测单位按照应急需要加强关于饮用水水源地监测技术方面的保障建设，确保监测数据信息完整可靠。 </w:t>
      </w:r>
    </w:p>
    <w:p w14:paraId="6563DAF3">
      <w:pPr>
        <w:pStyle w:val="3"/>
        <w:bidi w:val="0"/>
        <w:rPr>
          <w:rFonts w:hint="default"/>
          <w:lang w:val="en-US" w:eastAsia="zh-CN"/>
        </w:rPr>
      </w:pPr>
      <w:bookmarkStart w:id="107" w:name="_Toc5027"/>
      <w:bookmarkStart w:id="108" w:name="_Toc4769"/>
      <w:bookmarkStart w:id="109" w:name="_Toc16266"/>
      <w:r>
        <w:rPr>
          <w:rFonts w:hint="default"/>
          <w:lang w:val="en-US" w:eastAsia="zh-CN"/>
        </w:rPr>
        <w:t>6.6 其它保障</w:t>
      </w:r>
      <w:bookmarkEnd w:id="107"/>
      <w:bookmarkEnd w:id="108"/>
      <w:r>
        <w:rPr>
          <w:rFonts w:hint="default"/>
          <w:lang w:val="en-US" w:eastAsia="zh-CN"/>
        </w:rPr>
        <w:t xml:space="preserve"> </w:t>
      </w:r>
    </w:p>
    <w:p w14:paraId="3D43CA9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卫生部门要快速组织医疗救护队伍进入救灾现场，对伤员进行救治，及时检查、监测灾区的食品、饮用水源安全情况。食品药品监管部门要迅速组织向水源地突发事件影响地区提供所需药品、医疗器械。卫体局负责公共卫生信息系统建设。准确掌握急救资源状况（院前急救、综合医院急诊科、急救队伍等），建立动态数据库，明确医疗救治和疾病预防控制机构的资源分布、救治能力和专长等，全面提高城市公共卫生管理和应急处置能力。 </w:t>
      </w:r>
    </w:p>
    <w:p w14:paraId="0FBF2B6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交通运输部门要健全公路、铁路紧急运输保障体系，保障应急响应所需人员、物资、装备、器材等的运输。公安部门要加强应急交通管理，保障运送伤病员、应急救援人员、物资、装备、器材车辆的优先通行。 </w:t>
      </w:r>
    </w:p>
    <w:p w14:paraId="45DD29A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突发事件发生后，由事件发生地人民政府负责治安保障，迅速组织公安部门在突发事件处置现场设立警戒区，负责事故现场治安警戒和管理。警备区和武警支队予以协助和配合，承担对重要场所、重点人群、重要物资的防范防护，维持现场秩序，依法严厉打击违法犯罪活动，全力维护突发事件发生地区的社会稳定。 </w:t>
      </w:r>
    </w:p>
    <w:p w14:paraId="161B1235">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7FC3FF1F">
      <w:pPr>
        <w:pStyle w:val="2"/>
        <w:bidi w:val="0"/>
        <w:rPr>
          <w:rFonts w:hint="default"/>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2F25C686">
      <w:pPr>
        <w:widowControl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right="0" w:firstLine="0" w:firstLineChars="0"/>
        <w:jc w:val="center"/>
        <w:outlineLvl w:val="0"/>
        <w:rPr>
          <w:rFonts w:hint="eastAsia" w:ascii="Times New Roman" w:hAnsi="Times New Roman" w:eastAsia="仿宋" w:cs="Times New Roman"/>
          <w:b/>
          <w:bCs/>
          <w:kern w:val="44"/>
          <w:sz w:val="32"/>
          <w:szCs w:val="32"/>
          <w:highlight w:val="none"/>
          <w:lang w:val="en-US" w:eastAsia="zh-CN" w:bidi="ar"/>
        </w:rPr>
      </w:pPr>
      <w:bookmarkStart w:id="110" w:name="_Toc3366"/>
      <w:bookmarkStart w:id="111" w:name="_Toc6580"/>
      <w:bookmarkStart w:id="112" w:name="_Toc27002"/>
      <w:r>
        <w:rPr>
          <w:rFonts w:hint="eastAsia" w:ascii="Times New Roman" w:hAnsi="Times New Roman" w:eastAsia="仿宋" w:cs="Times New Roman"/>
          <w:b/>
          <w:bCs/>
          <w:kern w:val="44"/>
          <w:sz w:val="32"/>
          <w:szCs w:val="32"/>
          <w:highlight w:val="none"/>
          <w:lang w:val="en-US" w:eastAsia="zh-CN" w:bidi="ar"/>
        </w:rPr>
        <w:t>第七章 监督管理</w:t>
      </w:r>
      <w:bookmarkEnd w:id="110"/>
      <w:bookmarkEnd w:id="111"/>
      <w:bookmarkEnd w:id="112"/>
    </w:p>
    <w:p w14:paraId="247CBD40">
      <w:pPr>
        <w:keepNext/>
        <w:keepLines/>
        <w:widowControl w:val="0"/>
        <w:bidi w:val="0"/>
        <w:spacing w:beforeLines="0" w:beforeAutospacing="0" w:afterLines="0" w:afterAutospacing="0" w:line="360" w:lineRule="auto"/>
        <w:ind w:firstLine="0" w:firstLineChars="0"/>
        <w:jc w:val="both"/>
        <w:outlineLvl w:val="1"/>
        <w:rPr>
          <w:rFonts w:hint="eastAsia" w:ascii="Times New Roman" w:hAnsi="Times New Roman" w:eastAsia="仿宋" w:cs="Times New Roman"/>
          <w:b/>
          <w:bCs/>
          <w:kern w:val="2"/>
          <w:sz w:val="30"/>
          <w:szCs w:val="30"/>
          <w:highlight w:val="none"/>
          <w:lang w:val="en-US" w:eastAsia="zh-CN" w:bidi="ar-SA"/>
        </w:rPr>
      </w:pPr>
      <w:bookmarkStart w:id="113" w:name="_Toc5565"/>
      <w:bookmarkStart w:id="114" w:name="_Toc3966"/>
      <w:bookmarkStart w:id="115" w:name="_Toc7434"/>
      <w:r>
        <w:rPr>
          <w:rFonts w:hint="eastAsia" w:ascii="Times New Roman" w:hAnsi="Times New Roman" w:eastAsia="仿宋" w:cs="Times New Roman"/>
          <w:b/>
          <w:bCs/>
          <w:kern w:val="2"/>
          <w:sz w:val="30"/>
          <w:szCs w:val="30"/>
          <w:highlight w:val="none"/>
          <w:lang w:val="en-US" w:eastAsia="zh-CN" w:bidi="ar-SA"/>
        </w:rPr>
        <w:t>7.1宣传与培训</w:t>
      </w:r>
      <w:bookmarkEnd w:id="113"/>
      <w:bookmarkEnd w:id="114"/>
      <w:bookmarkEnd w:id="115"/>
    </w:p>
    <w:p w14:paraId="0B66F77C">
      <w:pPr>
        <w:jc w:val="both"/>
        <w:rPr>
          <w:rFonts w:hint="default"/>
          <w:highlight w:val="none"/>
          <w:lang w:val="en-US" w:eastAsia="zh-CN"/>
        </w:rPr>
      </w:pPr>
      <w:r>
        <w:rPr>
          <w:rFonts w:hint="default"/>
          <w:highlight w:val="none"/>
          <w:lang w:val="en-US" w:eastAsia="zh-CN"/>
        </w:rPr>
        <w:t>通过宣传、授课、操作演练和模拟演习等方式，使</w:t>
      </w: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突发环境事件预警和应急处置专业人员掌握相关知识和技能，提高预警和应急处置能力。宣教与培训内容主要为有关预警和应急处置的法律、法规；预警和应急处置程序及其运行；预警及应急处置的专业知识和技能；预警和应急处置报告的编制和上报程序等。</w:t>
      </w:r>
    </w:p>
    <w:p w14:paraId="788A517D">
      <w:pPr>
        <w:keepNext/>
        <w:keepLines/>
        <w:widowControl w:val="0"/>
        <w:bidi w:val="0"/>
        <w:spacing w:beforeLines="0" w:beforeAutospacing="0" w:afterLines="0" w:afterAutospacing="0" w:line="360" w:lineRule="auto"/>
        <w:ind w:firstLine="0" w:firstLineChars="0"/>
        <w:jc w:val="both"/>
        <w:outlineLvl w:val="1"/>
        <w:rPr>
          <w:rFonts w:hint="eastAsia" w:ascii="Times New Roman" w:hAnsi="Times New Roman" w:eastAsia="仿宋" w:cs="Times New Roman"/>
          <w:b/>
          <w:bCs/>
          <w:kern w:val="2"/>
          <w:sz w:val="30"/>
          <w:szCs w:val="30"/>
          <w:highlight w:val="none"/>
          <w:lang w:val="en-US" w:eastAsia="zh-CN" w:bidi="ar-SA"/>
        </w:rPr>
      </w:pPr>
      <w:bookmarkStart w:id="116" w:name="_Toc14706"/>
      <w:bookmarkStart w:id="117" w:name="_Toc26826"/>
      <w:bookmarkStart w:id="118" w:name="_Toc31893"/>
      <w:r>
        <w:rPr>
          <w:rFonts w:hint="eastAsia" w:ascii="Times New Roman" w:hAnsi="Times New Roman" w:eastAsia="仿宋" w:cs="Times New Roman"/>
          <w:b/>
          <w:bCs/>
          <w:kern w:val="2"/>
          <w:sz w:val="30"/>
          <w:szCs w:val="30"/>
          <w:highlight w:val="none"/>
          <w:lang w:val="en-US" w:eastAsia="zh-CN" w:bidi="ar-SA"/>
        </w:rPr>
        <w:t>7.2应急演练</w:t>
      </w:r>
      <w:bookmarkEnd w:id="116"/>
      <w:bookmarkEnd w:id="117"/>
      <w:bookmarkEnd w:id="118"/>
    </w:p>
    <w:p w14:paraId="4BA96AE3">
      <w:pPr>
        <w:jc w:val="both"/>
        <w:rPr>
          <w:rFonts w:hint="default"/>
          <w:highlight w:val="none"/>
          <w:lang w:val="en-US" w:eastAsia="zh-CN"/>
        </w:rPr>
      </w:pP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源地应急指挥部办公室根据实际，按照国务院《突发事件应急演练指南》的要求，并结合</w:t>
      </w: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源地实际情况，定期开展饮用水源地突发环境事件应急处置演练。演练结束后应及时进行总结。</w:t>
      </w:r>
    </w:p>
    <w:p w14:paraId="0886ED4C">
      <w:pPr>
        <w:jc w:val="both"/>
        <w:rPr>
          <w:rFonts w:hint="default"/>
          <w:highlight w:val="none"/>
          <w:lang w:val="en-US" w:eastAsia="zh-CN"/>
        </w:rPr>
      </w:pPr>
      <w:r>
        <w:rPr>
          <w:rFonts w:hint="default"/>
          <w:highlight w:val="none"/>
          <w:lang w:val="en-US" w:eastAsia="zh-CN"/>
        </w:rPr>
        <w:t>应急预案</w:t>
      </w:r>
      <w:r>
        <w:rPr>
          <w:rFonts w:hint="eastAsia"/>
          <w:highlight w:val="none"/>
          <w:lang w:val="en-US" w:eastAsia="zh-CN"/>
        </w:rPr>
        <w:t>在预案有效期内应至少演练一次</w:t>
      </w:r>
      <w:r>
        <w:rPr>
          <w:rFonts w:hint="default"/>
          <w:highlight w:val="none"/>
          <w:lang w:val="en-US" w:eastAsia="zh-CN"/>
        </w:rPr>
        <w:t>，演练内容包括在事故期间通讯系统是否正常运作、信息报送流程、各小组配合情况、人员应急能力、应急资源的使用、应急监测布点方法及监测方法、应急处理方法等。要对演练情况进行总结分析、评价，之后及时修订完善预案。</w:t>
      </w:r>
    </w:p>
    <w:p w14:paraId="425EA1D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w:t>
      </w:r>
      <w:r>
        <w:rPr>
          <w:rFonts w:hint="eastAsia" w:cs="Times New Roman"/>
          <w:highlight w:val="none"/>
          <w:lang w:val="en-US" w:eastAsia="zh-CN"/>
        </w:rPr>
        <w:t>.</w:t>
      </w:r>
      <w:r>
        <w:rPr>
          <w:rFonts w:hint="default" w:ascii="Times New Roman" w:hAnsi="Times New Roman" w:eastAsia="仿宋" w:cs="Times New Roman"/>
          <w:highlight w:val="none"/>
        </w:rPr>
        <w:t>演练单位、地点、时间</w:t>
      </w:r>
    </w:p>
    <w:p w14:paraId="11870FB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主要参与演练单位：</w:t>
      </w:r>
      <w:r>
        <w:rPr>
          <w:rFonts w:hint="eastAsia"/>
          <w:lang w:val="en-US" w:eastAsia="zh-CN"/>
        </w:rPr>
        <w:t>各乡镇人民镇、汾阳市自然资源局</w:t>
      </w:r>
      <w:r>
        <w:rPr>
          <w:rFonts w:hint="default"/>
          <w:lang w:eastAsia="zh-CN"/>
        </w:rPr>
        <w:t>、</w:t>
      </w:r>
      <w:r>
        <w:rPr>
          <w:rFonts w:hint="eastAsia"/>
          <w:lang w:val="en-US" w:eastAsia="zh-CN"/>
        </w:rPr>
        <w:t>市发改局、市</w:t>
      </w:r>
      <w:r>
        <w:rPr>
          <w:rFonts w:hint="default"/>
        </w:rPr>
        <w:t>商务局</w:t>
      </w:r>
      <w:r>
        <w:rPr>
          <w:rFonts w:hint="default"/>
          <w:lang w:eastAsia="zh-CN"/>
        </w:rPr>
        <w:t>、</w:t>
      </w:r>
      <w:r>
        <w:rPr>
          <w:rFonts w:hint="eastAsia"/>
          <w:lang w:val="en-US" w:eastAsia="zh-CN"/>
        </w:rPr>
        <w:t>市</w:t>
      </w:r>
      <w:r>
        <w:rPr>
          <w:rFonts w:hint="default"/>
        </w:rPr>
        <w:t>城乡建设</w:t>
      </w:r>
      <w:r>
        <w:rPr>
          <w:rFonts w:hint="eastAsia"/>
          <w:lang w:eastAsia="zh-CN"/>
        </w:rPr>
        <w:t>、</w:t>
      </w:r>
      <w:r>
        <w:rPr>
          <w:rFonts w:hint="eastAsia"/>
          <w:lang w:val="en-US" w:eastAsia="zh-CN"/>
        </w:rPr>
        <w:t>市</w:t>
      </w:r>
      <w:r>
        <w:rPr>
          <w:rFonts w:hint="default"/>
        </w:rPr>
        <w:t>交通运输局</w:t>
      </w:r>
      <w:r>
        <w:rPr>
          <w:rFonts w:hint="default"/>
          <w:lang w:eastAsia="zh-CN"/>
        </w:rPr>
        <w:t>、</w:t>
      </w:r>
      <w:r>
        <w:rPr>
          <w:rFonts w:hint="eastAsia"/>
          <w:lang w:val="en-US" w:eastAsia="zh-CN"/>
        </w:rPr>
        <w:t>市</w:t>
      </w:r>
      <w:r>
        <w:rPr>
          <w:rFonts w:hint="default"/>
        </w:rPr>
        <w:t>农业农村</w:t>
      </w:r>
      <w:r>
        <w:rPr>
          <w:rFonts w:hint="eastAsia"/>
          <w:lang w:eastAsia="zh-CN"/>
        </w:rPr>
        <w:t>、</w:t>
      </w:r>
      <w:r>
        <w:rPr>
          <w:rFonts w:hint="eastAsia"/>
          <w:lang w:val="en-US" w:eastAsia="zh-CN"/>
        </w:rPr>
        <w:t>市</w:t>
      </w:r>
      <w:r>
        <w:rPr>
          <w:rFonts w:hint="default"/>
        </w:rPr>
        <w:t>水利局</w:t>
      </w:r>
      <w:r>
        <w:rPr>
          <w:rFonts w:hint="default"/>
          <w:lang w:eastAsia="zh-CN"/>
        </w:rPr>
        <w:t>、</w:t>
      </w:r>
      <w:r>
        <w:rPr>
          <w:rFonts w:hint="eastAsia"/>
          <w:lang w:val="en-US" w:eastAsia="zh-CN"/>
        </w:rPr>
        <w:t>市</w:t>
      </w:r>
      <w:r>
        <w:rPr>
          <w:rFonts w:hint="default"/>
        </w:rPr>
        <w:t>公安局</w:t>
      </w:r>
      <w:r>
        <w:rPr>
          <w:rFonts w:hint="default"/>
          <w:lang w:eastAsia="zh-CN"/>
        </w:rPr>
        <w:t>、</w:t>
      </w:r>
      <w:r>
        <w:rPr>
          <w:rFonts w:hint="eastAsia"/>
          <w:lang w:val="en-US" w:eastAsia="zh-CN"/>
        </w:rPr>
        <w:t>市</w:t>
      </w:r>
      <w:r>
        <w:rPr>
          <w:rFonts w:hint="default"/>
        </w:rPr>
        <w:t>财政局</w:t>
      </w:r>
      <w:r>
        <w:rPr>
          <w:rFonts w:hint="default"/>
          <w:lang w:eastAsia="zh-CN"/>
        </w:rPr>
        <w:t>、</w:t>
      </w:r>
      <w:r>
        <w:rPr>
          <w:rFonts w:hint="eastAsia"/>
          <w:lang w:eastAsia="zh-CN"/>
        </w:rPr>
        <w:t>汾阳市</w:t>
      </w:r>
      <w:r>
        <w:rPr>
          <w:rFonts w:hint="default"/>
        </w:rPr>
        <w:t>卫生健康局</w:t>
      </w:r>
      <w:r>
        <w:rPr>
          <w:rFonts w:hint="default"/>
          <w:lang w:eastAsia="zh-CN"/>
        </w:rPr>
        <w:t>、</w:t>
      </w:r>
      <w:r>
        <w:rPr>
          <w:rFonts w:hint="eastAsia"/>
          <w:lang w:val="en-US" w:eastAsia="zh-CN"/>
        </w:rPr>
        <w:t>汾阳市</w:t>
      </w:r>
      <w:r>
        <w:rPr>
          <w:rFonts w:hint="default"/>
        </w:rPr>
        <w:t>综合行政执法局</w:t>
      </w:r>
      <w:r>
        <w:rPr>
          <w:rFonts w:hint="default"/>
          <w:lang w:eastAsia="zh-CN"/>
        </w:rPr>
        <w:t>、</w:t>
      </w:r>
      <w:r>
        <w:rPr>
          <w:rFonts w:hint="eastAsia"/>
          <w:lang w:val="en-US" w:eastAsia="zh-CN"/>
        </w:rPr>
        <w:t>汾阳市</w:t>
      </w:r>
      <w:r>
        <w:rPr>
          <w:rFonts w:hint="default"/>
        </w:rPr>
        <w:t>气象局</w:t>
      </w:r>
      <w:r>
        <w:rPr>
          <w:rFonts w:hint="default"/>
          <w:lang w:eastAsia="zh-CN"/>
        </w:rPr>
        <w:t>、</w:t>
      </w:r>
      <w:r>
        <w:rPr>
          <w:rFonts w:hint="eastAsia"/>
          <w:lang w:val="en-US" w:eastAsia="zh-CN"/>
        </w:rPr>
        <w:t>汾阳市</w:t>
      </w:r>
      <w:r>
        <w:rPr>
          <w:rFonts w:hint="default"/>
        </w:rPr>
        <w:t>自来水公司</w:t>
      </w:r>
      <w:r>
        <w:rPr>
          <w:rFonts w:hint="default"/>
          <w:lang w:eastAsia="zh-CN"/>
        </w:rPr>
        <w:t>、</w:t>
      </w:r>
      <w:r>
        <w:rPr>
          <w:rFonts w:hint="eastAsia"/>
          <w:lang w:val="en-US" w:eastAsia="zh-CN"/>
        </w:rPr>
        <w:t>吕梁市生态环境局汾阳分局、汾阳市事业服务中心</w:t>
      </w:r>
      <w:r>
        <w:rPr>
          <w:rFonts w:hint="default" w:ascii="Times New Roman" w:hAnsi="Times New Roman" w:eastAsia="仿宋" w:cs="Times New Roman"/>
          <w:highlight w:val="none"/>
        </w:rPr>
        <w:t>。</w:t>
      </w:r>
    </w:p>
    <w:p w14:paraId="7847C16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事件内容设置：</w:t>
      </w: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突发环境事件应急演练活动时间：自行安排</w:t>
      </w:r>
      <w:r>
        <w:rPr>
          <w:rFonts w:hint="eastAsia" w:cs="Times New Roman"/>
          <w:highlight w:val="none"/>
          <w:lang w:eastAsia="zh-CN"/>
        </w:rPr>
        <w:t>。</w:t>
      </w:r>
    </w:p>
    <w:p w14:paraId="1CA0352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应急演练活动地点：根据事件演练内容自行设定</w:t>
      </w:r>
      <w:r>
        <w:rPr>
          <w:rFonts w:hint="eastAsia" w:cs="Times New Roman"/>
          <w:highlight w:val="none"/>
          <w:lang w:eastAsia="zh-CN"/>
        </w:rPr>
        <w:t>。</w:t>
      </w:r>
    </w:p>
    <w:p w14:paraId="7C19BCC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w:t>
      </w:r>
      <w:r>
        <w:rPr>
          <w:rFonts w:hint="default" w:ascii="Times New Roman" w:hAnsi="Times New Roman" w:eastAsia="仿宋" w:cs="Times New Roman"/>
          <w:highlight w:val="none"/>
        </w:rPr>
        <w:t>具体演练内容</w:t>
      </w:r>
    </w:p>
    <w:p w14:paraId="3891B1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1）演练模拟场景：吕梁市生态环境局汾阳分局123</w:t>
      </w:r>
      <w:r>
        <w:rPr>
          <w:rFonts w:hint="eastAsia" w:cs="Times New Roman"/>
          <w:highlight w:val="none"/>
          <w:lang w:val="en-US" w:eastAsia="zh-CN"/>
        </w:rPr>
        <w:t>45</w:t>
      </w:r>
      <w:r>
        <w:rPr>
          <w:rFonts w:hint="default" w:ascii="Times New Roman" w:hAnsi="Times New Roman" w:eastAsia="仿宋" w:cs="Times New Roman"/>
          <w:highlight w:val="none"/>
        </w:rPr>
        <w:t>值班室接到事发点事故报告，事发点由于某类污染物泄露导致水源地环境受到污染。</w:t>
      </w:r>
    </w:p>
    <w:p w14:paraId="066A261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12345</w:t>
      </w:r>
      <w:r>
        <w:rPr>
          <w:rFonts w:hint="default" w:ascii="Times New Roman" w:hAnsi="Times New Roman" w:eastAsia="仿宋" w:cs="Times New Roman"/>
          <w:highlight w:val="none"/>
        </w:rPr>
        <w:t>值班人员将此事逐级上报，根据应急指挥办公室主任指令第一时间向</w:t>
      </w:r>
      <w:r>
        <w:rPr>
          <w:rFonts w:hint="eastAsia" w:cs="Times New Roman"/>
          <w:highlight w:val="none"/>
          <w:lang w:val="en-US" w:eastAsia="zh-CN"/>
        </w:rPr>
        <w:t>汾阳市</w:t>
      </w:r>
      <w:r>
        <w:rPr>
          <w:rFonts w:hint="default" w:ascii="Times New Roman" w:hAnsi="Times New Roman" w:eastAsia="仿宋" w:cs="Times New Roman"/>
          <w:highlight w:val="none"/>
        </w:rPr>
        <w:t>政府报告，</w:t>
      </w:r>
      <w:r>
        <w:rPr>
          <w:rFonts w:hint="eastAsia" w:cs="Times New Roman"/>
          <w:highlight w:val="none"/>
          <w:lang w:val="en-US" w:eastAsia="zh-CN"/>
        </w:rPr>
        <w:t>汾阳市</w:t>
      </w:r>
      <w:r>
        <w:rPr>
          <w:rFonts w:hint="default" w:ascii="Times New Roman" w:hAnsi="Times New Roman" w:eastAsia="仿宋" w:cs="Times New Roman"/>
          <w:highlight w:val="none"/>
        </w:rPr>
        <w:t>政府立即启动本预案，确定应急响应级别。同时向各相关部门下达应急指令。</w:t>
      </w:r>
    </w:p>
    <w:p w14:paraId="0AE30B3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3）进入应急状态后，各个单位按照专家组提出的应急处置技术方案迅速行动，展开抢险及应急救援。市汾阳市应急管理局、吕梁市生态环境局汾阳分局、汾阳市农业农村和水利局、汾阳市公安局、汾阳市卫生健康局、汾阳市消防救援大队</w:t>
      </w:r>
      <w:r>
        <w:rPr>
          <w:rFonts w:hint="eastAsia" w:cs="Times New Roman"/>
          <w:highlight w:val="none"/>
          <w:lang w:eastAsia="zh-CN"/>
        </w:rPr>
        <w:t>、</w:t>
      </w:r>
      <w:r>
        <w:rPr>
          <w:rFonts w:hint="default" w:ascii="Times New Roman" w:hAnsi="Times New Roman" w:eastAsia="仿宋" w:cs="Times New Roman"/>
          <w:highlight w:val="none"/>
        </w:rPr>
        <w:t>汾阳市疾病预防控制中心、各乡镇政府等部门组织专业应急队伍实施救援，使事故得到有效控制。</w:t>
      </w:r>
    </w:p>
    <w:p w14:paraId="58C6F3F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4）各单位立即出动，采取抢救、设立事发现场及受影响区域的警戒线，对事件现场及附近进行监测，切断污染源等措施，开展应急处置救援工作。</w:t>
      </w:r>
    </w:p>
    <w:p w14:paraId="5FCD708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5）各单位向应急指挥部报告各自应急处置情况。</w:t>
      </w:r>
    </w:p>
    <w:p w14:paraId="59F5449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6）事发地做好现场善后处理工作，安排现场抢救人员体检，确保安全生产。生态环境部门密切关注水源地环境安全变化情况，控制事态发展</w:t>
      </w:r>
      <w:r>
        <w:rPr>
          <w:rFonts w:hint="eastAsia" w:cs="Times New Roman"/>
          <w:highlight w:val="none"/>
          <w:lang w:val="en-US" w:eastAsia="zh-CN"/>
        </w:rPr>
        <w:t>。</w:t>
      </w:r>
    </w:p>
    <w:p w14:paraId="2AED4D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7）</w:t>
      </w: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应急指挥部下达响应终止命令。</w:t>
      </w:r>
    </w:p>
    <w:p w14:paraId="1AB685CE">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szCs w:val="28"/>
          <w:highlight w:val="none"/>
        </w:rPr>
      </w:pPr>
      <w:r>
        <w:rPr>
          <w:rFonts w:hint="default" w:ascii="Times New Roman" w:hAnsi="Times New Roman" w:eastAsia="仿宋" w:cs="Times New Roman"/>
          <w:highlight w:val="none"/>
        </w:rPr>
        <w:t>8）召开新闻发布会向媒体通报情况，尽快形成总结和分析报告上报。</w:t>
      </w:r>
    </w:p>
    <w:p w14:paraId="24756EB4">
      <w:pPr>
        <w:keepNext/>
        <w:keepLines/>
        <w:widowControl w:val="0"/>
        <w:bidi w:val="0"/>
        <w:spacing w:beforeLines="0" w:beforeAutospacing="0" w:afterLines="0" w:afterAutospacing="0" w:line="360" w:lineRule="auto"/>
        <w:ind w:firstLine="0" w:firstLineChars="0"/>
        <w:jc w:val="both"/>
        <w:outlineLvl w:val="1"/>
        <w:rPr>
          <w:rFonts w:hint="eastAsia" w:ascii="Times New Roman" w:hAnsi="Times New Roman" w:eastAsia="仿宋" w:cs="Times New Roman"/>
          <w:b/>
          <w:bCs/>
          <w:kern w:val="2"/>
          <w:sz w:val="30"/>
          <w:szCs w:val="30"/>
          <w:highlight w:val="none"/>
          <w:lang w:val="en-US" w:eastAsia="zh-CN" w:bidi="ar-SA"/>
        </w:rPr>
      </w:pPr>
      <w:bookmarkStart w:id="119" w:name="_Toc29966"/>
      <w:bookmarkStart w:id="120" w:name="_Toc16130"/>
      <w:bookmarkStart w:id="121" w:name="_Toc29528"/>
      <w:r>
        <w:rPr>
          <w:rFonts w:hint="eastAsia" w:ascii="Times New Roman" w:hAnsi="Times New Roman" w:eastAsia="仿宋" w:cs="Times New Roman"/>
          <w:b/>
          <w:bCs/>
          <w:kern w:val="2"/>
          <w:sz w:val="30"/>
          <w:szCs w:val="30"/>
          <w:highlight w:val="none"/>
          <w:lang w:val="en-US" w:eastAsia="zh-CN" w:bidi="ar-SA"/>
        </w:rPr>
        <w:t>7.3奖惩</w:t>
      </w:r>
      <w:bookmarkEnd w:id="119"/>
      <w:bookmarkEnd w:id="120"/>
      <w:bookmarkEnd w:id="121"/>
    </w:p>
    <w:p w14:paraId="47128A62">
      <w:pPr>
        <w:keepNext/>
        <w:keepLines/>
        <w:widowControl w:val="0"/>
        <w:bidi w:val="0"/>
        <w:spacing w:beforeLines="0" w:beforeAutospacing="0" w:afterLines="0" w:afterAutospacing="0" w:line="360" w:lineRule="auto"/>
        <w:ind w:firstLine="0" w:firstLineChars="0"/>
        <w:jc w:val="both"/>
        <w:outlineLvl w:val="2"/>
        <w:rPr>
          <w:rFonts w:hint="eastAsia" w:ascii="Times New Roman" w:hAnsi="Times New Roman" w:eastAsia="仿宋" w:cs="Times New Roman"/>
          <w:b/>
          <w:bCs/>
          <w:kern w:val="2"/>
          <w:sz w:val="28"/>
          <w:szCs w:val="28"/>
          <w:highlight w:val="none"/>
          <w:lang w:val="en-US" w:eastAsia="zh-CN" w:bidi="ar-SA"/>
        </w:rPr>
      </w:pPr>
      <w:bookmarkStart w:id="122" w:name="_Toc32323"/>
      <w:bookmarkStart w:id="123" w:name="_Toc22849"/>
      <w:bookmarkStart w:id="124" w:name="_Toc15235"/>
      <w:r>
        <w:rPr>
          <w:rFonts w:hint="eastAsia" w:ascii="Times New Roman" w:hAnsi="Times New Roman" w:eastAsia="仿宋" w:cs="Times New Roman"/>
          <w:b/>
          <w:bCs/>
          <w:kern w:val="2"/>
          <w:sz w:val="28"/>
          <w:szCs w:val="28"/>
          <w:highlight w:val="none"/>
          <w:lang w:val="en-US" w:eastAsia="zh-CN" w:bidi="ar-SA"/>
        </w:rPr>
        <w:t>7.3.1奖励</w:t>
      </w:r>
      <w:bookmarkEnd w:id="122"/>
      <w:bookmarkEnd w:id="123"/>
      <w:bookmarkEnd w:id="124"/>
    </w:p>
    <w:p w14:paraId="114EA7F8">
      <w:pPr>
        <w:rPr>
          <w:rFonts w:hint="default"/>
          <w:highlight w:val="none"/>
          <w:lang w:val="en-US" w:eastAsia="zh-CN"/>
        </w:rPr>
      </w:pPr>
      <w:r>
        <w:rPr>
          <w:rFonts w:hint="default"/>
          <w:highlight w:val="none"/>
          <w:lang w:val="en-US" w:eastAsia="zh-CN"/>
        </w:rPr>
        <w:t>饮用水源污染事件应急处置工作，实行行政领导负责制和责任追究制。对在饮用水源污染事件应急处置工作中，作出突出贡献的先进集体和个人要给予表彰和奖励。</w:t>
      </w:r>
    </w:p>
    <w:p w14:paraId="10AD0325">
      <w:pPr>
        <w:keepNext/>
        <w:keepLines/>
        <w:widowControl w:val="0"/>
        <w:bidi w:val="0"/>
        <w:spacing w:beforeLines="0" w:beforeAutospacing="0" w:afterLines="0" w:afterAutospacing="0" w:line="360" w:lineRule="auto"/>
        <w:ind w:firstLine="0" w:firstLineChars="0"/>
        <w:jc w:val="both"/>
        <w:outlineLvl w:val="2"/>
        <w:rPr>
          <w:rFonts w:hint="eastAsia" w:ascii="Times New Roman" w:hAnsi="Times New Roman" w:eastAsia="仿宋" w:cs="Times New Roman"/>
          <w:b/>
          <w:bCs/>
          <w:kern w:val="2"/>
          <w:sz w:val="28"/>
          <w:szCs w:val="28"/>
          <w:highlight w:val="none"/>
          <w:lang w:val="en-US" w:eastAsia="zh-CN" w:bidi="ar-SA"/>
        </w:rPr>
      </w:pPr>
      <w:bookmarkStart w:id="125" w:name="_Toc1493"/>
      <w:bookmarkStart w:id="126" w:name="_Toc31898"/>
      <w:bookmarkStart w:id="127" w:name="_Toc23898"/>
      <w:r>
        <w:rPr>
          <w:rFonts w:hint="eastAsia" w:ascii="Times New Roman" w:hAnsi="Times New Roman" w:eastAsia="仿宋" w:cs="Times New Roman"/>
          <w:b/>
          <w:bCs/>
          <w:kern w:val="2"/>
          <w:sz w:val="28"/>
          <w:szCs w:val="28"/>
          <w:highlight w:val="none"/>
          <w:lang w:val="en-US" w:eastAsia="zh-CN" w:bidi="ar-SA"/>
        </w:rPr>
        <w:t>7.3.2惩罚</w:t>
      </w:r>
      <w:bookmarkEnd w:id="125"/>
      <w:bookmarkEnd w:id="126"/>
      <w:bookmarkEnd w:id="127"/>
    </w:p>
    <w:p w14:paraId="3590E228">
      <w:pPr>
        <w:rPr>
          <w:rFonts w:hint="default"/>
          <w:highlight w:val="none"/>
          <w:lang w:val="en-US" w:eastAsia="zh-CN"/>
        </w:rPr>
      </w:pPr>
      <w:r>
        <w:rPr>
          <w:rFonts w:hint="default"/>
          <w:highlight w:val="none"/>
          <w:lang w:val="en-US" w:eastAsia="zh-CN"/>
        </w:rPr>
        <w:t>在饮用水源污染事件应急处置工作中下列行为之一的，依法对有关责任人员给予行政处分，构成犯罪的，依法追究刑事责任。</w:t>
      </w:r>
    </w:p>
    <w:p w14:paraId="2DE50A6F">
      <w:pPr>
        <w:rPr>
          <w:rFonts w:hint="default"/>
          <w:highlight w:val="none"/>
          <w:lang w:val="en-US" w:eastAsia="zh-CN"/>
        </w:rPr>
      </w:pPr>
      <w:r>
        <w:rPr>
          <w:rFonts w:hint="default"/>
          <w:highlight w:val="none"/>
          <w:lang w:val="en-US" w:eastAsia="zh-CN"/>
        </w:rPr>
        <w:t>1</w:t>
      </w:r>
      <w:r>
        <w:rPr>
          <w:rFonts w:hint="eastAsia" w:ascii="Times New Roman" w:eastAsia="仿宋"/>
          <w:highlight w:val="none"/>
          <w:lang w:val="en-US" w:eastAsia="zh-CN"/>
        </w:rPr>
        <w:t>.</w:t>
      </w:r>
      <w:r>
        <w:rPr>
          <w:rFonts w:hint="default"/>
          <w:highlight w:val="none"/>
          <w:lang w:val="en-US" w:eastAsia="zh-CN"/>
        </w:rPr>
        <w:t>未依照规定履行报告职责，迟报、瞒报、漏报和谎报或者授意他人迟报、瞒报、漏报和谎报饮用水源污染事件重要情况的；</w:t>
      </w:r>
    </w:p>
    <w:p w14:paraId="5F457FA2">
      <w:pPr>
        <w:rPr>
          <w:rFonts w:hint="default"/>
          <w:highlight w:val="none"/>
          <w:lang w:val="en-US" w:eastAsia="zh-CN"/>
        </w:rPr>
      </w:pPr>
      <w:r>
        <w:rPr>
          <w:rFonts w:hint="default"/>
          <w:highlight w:val="none"/>
          <w:lang w:val="en-US" w:eastAsia="zh-CN"/>
        </w:rPr>
        <w:t>2</w:t>
      </w:r>
      <w:r>
        <w:rPr>
          <w:rFonts w:hint="eastAsia" w:ascii="Times New Roman" w:eastAsia="仿宋"/>
          <w:highlight w:val="none"/>
          <w:lang w:val="en-US" w:eastAsia="zh-CN"/>
        </w:rPr>
        <w:t>.</w:t>
      </w:r>
      <w:r>
        <w:rPr>
          <w:rFonts w:hint="default"/>
          <w:highlight w:val="none"/>
          <w:lang w:val="en-US" w:eastAsia="zh-CN"/>
        </w:rPr>
        <w:t>未依照规定完成饮用水源污染事件应急处置所需设施、设备、急需物资的生产、供应、运输和储备的；</w:t>
      </w:r>
    </w:p>
    <w:p w14:paraId="2F4E63AD">
      <w:pPr>
        <w:rPr>
          <w:rFonts w:hint="default"/>
          <w:highlight w:val="none"/>
          <w:lang w:val="en-US" w:eastAsia="zh-CN"/>
        </w:rPr>
      </w:pPr>
      <w:r>
        <w:rPr>
          <w:rFonts w:hint="default"/>
          <w:highlight w:val="none"/>
          <w:lang w:val="en-US" w:eastAsia="zh-CN"/>
        </w:rPr>
        <w:t>3</w:t>
      </w:r>
      <w:r>
        <w:rPr>
          <w:rFonts w:hint="eastAsia" w:ascii="Times New Roman" w:eastAsia="仿宋"/>
          <w:highlight w:val="none"/>
          <w:lang w:val="en-US" w:eastAsia="zh-CN"/>
        </w:rPr>
        <w:t>.</w:t>
      </w:r>
      <w:r>
        <w:rPr>
          <w:rFonts w:hint="default"/>
          <w:highlight w:val="none"/>
          <w:lang w:val="en-US" w:eastAsia="zh-CN"/>
        </w:rPr>
        <w:t>饮用水源地突发环境事件发生后，对上级人民政府有关部门的调查不予配合，或者采取其他方式阻碍、干涉调查的；</w:t>
      </w:r>
    </w:p>
    <w:p w14:paraId="2263E080">
      <w:pPr>
        <w:rPr>
          <w:rFonts w:hint="default"/>
          <w:highlight w:val="none"/>
          <w:lang w:val="en-US" w:eastAsia="zh-CN"/>
        </w:rPr>
      </w:pPr>
      <w:r>
        <w:rPr>
          <w:rFonts w:hint="default"/>
          <w:highlight w:val="none"/>
          <w:lang w:val="en-US" w:eastAsia="zh-CN"/>
        </w:rPr>
        <w:t>4</w:t>
      </w:r>
      <w:r>
        <w:rPr>
          <w:rFonts w:hint="eastAsia" w:ascii="Times New Roman" w:eastAsia="仿宋"/>
          <w:highlight w:val="none"/>
          <w:lang w:val="en-US" w:eastAsia="zh-CN"/>
        </w:rPr>
        <w:t>.</w:t>
      </w:r>
      <w:r>
        <w:rPr>
          <w:rFonts w:hint="default"/>
          <w:highlight w:val="none"/>
          <w:lang w:val="en-US" w:eastAsia="zh-CN"/>
        </w:rPr>
        <w:t>在饮用水源地突发环境事件调查、控制、救治工作中玩忽职守、失职、渎职的；</w:t>
      </w:r>
    </w:p>
    <w:p w14:paraId="154C1BCE">
      <w:pPr>
        <w:rPr>
          <w:rFonts w:hint="default"/>
          <w:highlight w:val="none"/>
          <w:lang w:val="en-US" w:eastAsia="zh-CN"/>
        </w:rPr>
      </w:pPr>
      <w:r>
        <w:rPr>
          <w:rFonts w:hint="default"/>
          <w:highlight w:val="none"/>
          <w:lang w:val="en-US" w:eastAsia="zh-CN"/>
        </w:rPr>
        <w:t>5</w:t>
      </w:r>
      <w:r>
        <w:rPr>
          <w:rFonts w:hint="eastAsia" w:ascii="Times New Roman" w:eastAsia="仿宋"/>
          <w:highlight w:val="none"/>
          <w:lang w:val="en-US" w:eastAsia="zh-CN"/>
        </w:rPr>
        <w:t>.</w:t>
      </w:r>
      <w:r>
        <w:rPr>
          <w:rFonts w:hint="default"/>
          <w:highlight w:val="none"/>
          <w:lang w:val="en-US" w:eastAsia="zh-CN"/>
        </w:rPr>
        <w:t>有关部门应履行而拒不履行应急处理职责的；</w:t>
      </w:r>
    </w:p>
    <w:p w14:paraId="17A2409E">
      <w:pPr>
        <w:rPr>
          <w:rFonts w:hint="default" w:ascii="Times New Roman" w:hAnsi="Times New Roman"/>
          <w:highlight w:val="none"/>
          <w:lang w:val="en-US" w:eastAsia="zh-CN"/>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highlight w:val="none"/>
          <w:lang w:val="en-US" w:eastAsia="zh-CN"/>
        </w:rPr>
        <w:t>6</w:t>
      </w:r>
      <w:r>
        <w:rPr>
          <w:rFonts w:hint="eastAsia" w:ascii="Times New Roman" w:hAnsi="Times New Roman"/>
          <w:highlight w:val="none"/>
          <w:lang w:val="en-US" w:eastAsia="zh-CN"/>
        </w:rPr>
        <w:t>.</w:t>
      </w:r>
      <w:r>
        <w:rPr>
          <w:rFonts w:hint="default" w:ascii="Times New Roman" w:hAnsi="Times New Roman"/>
          <w:highlight w:val="none"/>
          <w:lang w:val="en-US" w:eastAsia="zh-CN"/>
        </w:rPr>
        <w:t>有其他失职、渎职行为的</w:t>
      </w:r>
      <w:r>
        <w:rPr>
          <w:rFonts w:hint="eastAsia" w:ascii="Times New Roman" w:hAnsi="Times New Roman"/>
          <w:highlight w:val="none"/>
          <w:lang w:val="en-US" w:eastAsia="zh-CN"/>
        </w:rPr>
        <w:t>。</w:t>
      </w:r>
    </w:p>
    <w:p w14:paraId="3F997649">
      <w:pPr>
        <w:pStyle w:val="2"/>
        <w:bidi w:val="0"/>
        <w:rPr>
          <w:rFonts w:hint="default"/>
        </w:rPr>
      </w:pPr>
      <w:bookmarkStart w:id="128" w:name="_Toc7143"/>
      <w:r>
        <w:rPr>
          <w:rFonts w:hint="default"/>
        </w:rPr>
        <w:t>第</w:t>
      </w:r>
      <w:r>
        <w:rPr>
          <w:rFonts w:hint="eastAsia"/>
          <w:lang w:val="en-US" w:eastAsia="zh-CN"/>
        </w:rPr>
        <w:t>八</w:t>
      </w:r>
      <w:r>
        <w:rPr>
          <w:rFonts w:hint="default"/>
        </w:rPr>
        <w:t>章</w:t>
      </w:r>
      <w:r>
        <w:rPr>
          <w:rFonts w:hint="default"/>
          <w:lang w:val="en-US" w:eastAsia="zh-CN"/>
        </w:rPr>
        <w:t xml:space="preserve"> </w:t>
      </w:r>
      <w:r>
        <w:rPr>
          <w:rFonts w:hint="default"/>
        </w:rPr>
        <w:t>附则</w:t>
      </w:r>
      <w:bookmarkEnd w:id="109"/>
      <w:bookmarkEnd w:id="128"/>
    </w:p>
    <w:p w14:paraId="29EBCEA2">
      <w:pPr>
        <w:pStyle w:val="3"/>
        <w:bidi w:val="0"/>
        <w:rPr>
          <w:rFonts w:hint="default"/>
          <w:lang w:val="en-US" w:eastAsia="zh-CN"/>
        </w:rPr>
      </w:pPr>
      <w:bookmarkStart w:id="129" w:name="_Toc15421"/>
      <w:bookmarkStart w:id="130" w:name="_Toc10468"/>
      <w:r>
        <w:rPr>
          <w:rFonts w:hint="eastAsia"/>
          <w:lang w:val="en-US" w:eastAsia="zh-CN"/>
        </w:rPr>
        <w:t>8</w:t>
      </w:r>
      <w:r>
        <w:rPr>
          <w:rFonts w:hint="default"/>
          <w:lang w:val="en-US" w:eastAsia="zh-CN"/>
        </w:rPr>
        <w:t>.1 名词术语</w:t>
      </w:r>
      <w:bookmarkEnd w:id="129"/>
      <w:bookmarkEnd w:id="130"/>
      <w:r>
        <w:rPr>
          <w:rFonts w:hint="default"/>
          <w:lang w:val="en-US" w:eastAsia="zh-CN"/>
        </w:rPr>
        <w:t xml:space="preserve"> </w:t>
      </w:r>
    </w:p>
    <w:p w14:paraId="50ADF6A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集中式饮用水水源地：进入输水管网送到用户和具有一定取水规模（供水人口一般大于 1000 人</w:t>
      </w:r>
      <w:r>
        <w:rPr>
          <w:rFonts w:hint="eastAsia" w:cs="Times New Roman"/>
          <w:sz w:val="28"/>
          <w:szCs w:val="28"/>
          <w:lang w:eastAsia="zh-CN"/>
        </w:rPr>
        <w:t>）</w:t>
      </w:r>
      <w:r>
        <w:rPr>
          <w:rFonts w:hint="default" w:ascii="Times New Roman" w:hAnsi="Times New Roman" w:eastAsia="仿宋" w:cs="Times New Roman"/>
          <w:sz w:val="28"/>
          <w:szCs w:val="28"/>
        </w:rPr>
        <w:t>的在用、备用和规划水源地。依据取水区域不同，集中式饮用水水源地可分为地表水饮用水水源地和地下水饮用水水源地；</w:t>
      </w:r>
    </w:p>
    <w:p w14:paraId="0E352D6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饮用水水源保护区：指为防止饮用水水源地污染、保证水源水质而划定，并要求加以特殊保护的一定范围的水域和陆域。</w:t>
      </w:r>
    </w:p>
    <w:p w14:paraId="607149A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饮用水水源保护区分为一级保护区和二级保护区，必要时可在保护区外划分准保护区。 </w:t>
      </w:r>
    </w:p>
    <w:p w14:paraId="593260F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饮用水水源地突发环境事件：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 </w:t>
      </w:r>
    </w:p>
    <w:p w14:paraId="0CB345A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水质超标：指水源地水质超过《地下水质量标准》规定的 Ⅲ类水质标准或标准限值的要求。 </w:t>
      </w:r>
    </w:p>
    <w:p w14:paraId="6FB8627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危险化学品：指具有毒害、腐蚀、爆炸、燃烧、助燃等性质，对人体、设施、环境具有危害的剧毒化学品和其他化学品。</w:t>
      </w:r>
    </w:p>
    <w:p w14:paraId="087F800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危险废物：列入国家危险废物名录或者根据国家规定的危险废物鉴别标准和鉴别方法认定的具有危险特性的废物。具有下列情形之一的</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固体废</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物</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包</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 xml:space="preserve">括液态废物），列入国家危险废物名录： </w:t>
      </w:r>
    </w:p>
    <w:p w14:paraId="188B2F1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一</w:t>
      </w:r>
      <w:r>
        <w:rPr>
          <w:rFonts w:hint="default" w:ascii="Times New Roman" w:hAnsi="Times New Roman" w:eastAsia="仿宋" w:cs="Times New Roman"/>
          <w:sz w:val="28"/>
          <w:szCs w:val="28"/>
        </w:rPr>
        <w:t>）具有</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"https://baike.baidu.com/item/%E8%85%90%E8%9A%80%E6%80%A7"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腐蚀性、</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毒性</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"https://baike.baidu.com/item/%E6%98%93%E7%87%83%E6%80%A7"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"https://baike.baidu.com/item/%E6%98%93%E7%87%83%E6%80%A7"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易燃性、</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 xml:space="preserve">反应性或者感染性等一种或者几种危险特性的； </w:t>
      </w:r>
    </w:p>
    <w:p w14:paraId="457F342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二</w:t>
      </w:r>
      <w:r>
        <w:rPr>
          <w:rFonts w:hint="default" w:ascii="Times New Roman" w:hAnsi="Times New Roman" w:eastAsia="仿宋" w:cs="Times New Roman"/>
          <w:sz w:val="28"/>
          <w:szCs w:val="28"/>
        </w:rPr>
        <w:t xml:space="preserve">）不排除具有危险特性，可能对环境或者人体健康造成有害影响，需要按照危险废物进行管理的。 </w:t>
      </w:r>
    </w:p>
    <w:p w14:paraId="013C5DB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环境风险源：指可能发生突发环境事件并对周边环境造成危害的环境因素，环境风险源的危险程度由所涉及的危险物质的特性(物质危险性和物质的量)、危险物质存在的安全状态、所处的周边环境状况三个要素决定。 </w:t>
      </w:r>
    </w:p>
    <w:p w14:paraId="235547A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生物性污染：是指病原微生物排入水体后，直接成间接地使人感染或传染各种疾病。衡量指标主要有大肠菌类指数、细菌总数等。 </w:t>
      </w:r>
    </w:p>
    <w:p w14:paraId="5E6DB5D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化学性污染：由于化学物质（化学品）进入环境后造成的环境污染。即因化学污染物引起的环境污染。 </w:t>
      </w:r>
    </w:p>
    <w:p w14:paraId="2885E450">
      <w:pPr>
        <w:pStyle w:val="3"/>
        <w:bidi w:val="0"/>
        <w:rPr>
          <w:rFonts w:hint="default"/>
          <w:lang w:val="en-US" w:eastAsia="zh-CN"/>
        </w:rPr>
      </w:pPr>
      <w:bookmarkStart w:id="131" w:name="_Toc7567"/>
      <w:bookmarkStart w:id="132" w:name="_Toc27755"/>
      <w:r>
        <w:rPr>
          <w:rFonts w:hint="eastAsia"/>
          <w:lang w:val="en-US" w:eastAsia="zh-CN"/>
        </w:rPr>
        <w:t>8</w:t>
      </w:r>
      <w:r>
        <w:rPr>
          <w:rFonts w:hint="default"/>
          <w:lang w:val="en-US" w:eastAsia="zh-CN"/>
        </w:rPr>
        <w:t>.2预案制定和解释权属</w:t>
      </w:r>
      <w:bookmarkEnd w:id="131"/>
      <w:bookmarkEnd w:id="132"/>
      <w:r>
        <w:rPr>
          <w:rFonts w:hint="default"/>
          <w:lang w:val="en-US" w:eastAsia="zh-CN"/>
        </w:rPr>
        <w:t xml:space="preserve"> </w:t>
      </w:r>
    </w:p>
    <w:p w14:paraId="7C08452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本预案由</w:t>
      </w:r>
      <w:r>
        <w:rPr>
          <w:rFonts w:hint="eastAsia" w:cs="Times New Roman"/>
          <w:sz w:val="28"/>
          <w:szCs w:val="28"/>
          <w:lang w:val="en-US" w:eastAsia="zh-CN"/>
        </w:rPr>
        <w:t>水源地所在各乡镇人民政府</w:t>
      </w:r>
      <w:r>
        <w:rPr>
          <w:rFonts w:hint="default" w:ascii="Times New Roman" w:hAnsi="Times New Roman" w:eastAsia="仿宋" w:cs="Times New Roman"/>
          <w:sz w:val="28"/>
          <w:szCs w:val="28"/>
        </w:rPr>
        <w:t xml:space="preserve">负责解释。 </w:t>
      </w:r>
    </w:p>
    <w:p w14:paraId="3D0F7E55">
      <w:pPr>
        <w:pStyle w:val="3"/>
        <w:bidi w:val="0"/>
        <w:rPr>
          <w:rFonts w:hint="default"/>
          <w:lang w:val="en-US" w:eastAsia="zh-CN"/>
        </w:rPr>
      </w:pPr>
      <w:bookmarkStart w:id="133" w:name="_Toc21776"/>
      <w:bookmarkStart w:id="134" w:name="_Toc3658"/>
      <w:r>
        <w:rPr>
          <w:rFonts w:hint="eastAsia"/>
          <w:lang w:val="en-US" w:eastAsia="zh-CN"/>
        </w:rPr>
        <w:t>8</w:t>
      </w:r>
      <w:r>
        <w:rPr>
          <w:rFonts w:hint="default"/>
          <w:lang w:val="en-US" w:eastAsia="zh-CN"/>
        </w:rPr>
        <w:t>.3预案的评估与修订</w:t>
      </w:r>
      <w:bookmarkEnd w:id="133"/>
      <w:bookmarkEnd w:id="134"/>
      <w:r>
        <w:rPr>
          <w:rFonts w:hint="default"/>
          <w:lang w:val="en-US" w:eastAsia="zh-CN"/>
        </w:rPr>
        <w:t xml:space="preserve"> </w:t>
      </w:r>
    </w:p>
    <w:p w14:paraId="54847D0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人民政府建立本应急预案定期评估制度，重点分析应急预案内容的针对性、实用性和可操作性等，并根据评估情况提出修订应急预案意见，实现应急预案的动态更新优化。本预案原则上每 </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 年评估一次。应急预案的评估工作，可以委托第三方专业机构组织实施。 </w:t>
      </w:r>
    </w:p>
    <w:p w14:paraId="5F725AF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有下列情形之一的，应当及时修订本预案： </w:t>
      </w:r>
    </w:p>
    <w:p w14:paraId="62D7754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有关法律、行政法规、规章、标准、上位预案中的有关规定发生变化的； </w:t>
      </w:r>
    </w:p>
    <w:p w14:paraId="7A571BF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应急指挥机构及其职责发生重大调整的； </w:t>
      </w:r>
    </w:p>
    <w:p w14:paraId="681C057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在突发事件实际应对和应急演练中发现问题需要作出重大调整的； </w:t>
      </w:r>
    </w:p>
    <w:p w14:paraId="5B2468B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水源地发生变更； </w:t>
      </w:r>
    </w:p>
    <w:p w14:paraId="7052058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 xml:space="preserve">周围环境或者环境敏感点发生变化的； </w:t>
      </w:r>
    </w:p>
    <w:p w14:paraId="497FE9D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xml:space="preserve">其他需要修订预案的原因； </w:t>
      </w:r>
    </w:p>
    <w:p w14:paraId="677FD9F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预案修订后，需经</w:t>
      </w:r>
      <w:r>
        <w:rPr>
          <w:rFonts w:hint="eastAsia" w:cs="Times New Roman"/>
          <w:sz w:val="28"/>
          <w:szCs w:val="28"/>
          <w:lang w:eastAsia="zh-CN"/>
        </w:rPr>
        <w:t>汾阳市人民政府</w:t>
      </w:r>
      <w:r>
        <w:rPr>
          <w:rFonts w:hint="default" w:ascii="Times New Roman" w:hAnsi="Times New Roman" w:eastAsia="仿宋" w:cs="Times New Roman"/>
          <w:sz w:val="28"/>
          <w:szCs w:val="28"/>
        </w:rPr>
        <w:t xml:space="preserve">批准发布，并告知与本预案相关的机构和人员。 </w:t>
      </w:r>
    </w:p>
    <w:p w14:paraId="4C5D469F">
      <w:pPr>
        <w:pStyle w:val="3"/>
        <w:bidi w:val="0"/>
        <w:rPr>
          <w:rFonts w:hint="default"/>
          <w:lang w:val="en-US" w:eastAsia="zh-CN"/>
        </w:rPr>
      </w:pPr>
      <w:bookmarkStart w:id="135" w:name="_Toc27956"/>
      <w:bookmarkStart w:id="136" w:name="_Toc26981"/>
      <w:r>
        <w:rPr>
          <w:rFonts w:hint="eastAsia"/>
          <w:lang w:val="en-US" w:eastAsia="zh-CN"/>
        </w:rPr>
        <w:t>8</w:t>
      </w:r>
      <w:r>
        <w:rPr>
          <w:rFonts w:hint="default"/>
          <w:lang w:val="en-US" w:eastAsia="zh-CN"/>
        </w:rPr>
        <w:t>.4 实施日期</w:t>
      </w:r>
      <w:bookmarkEnd w:id="135"/>
      <w:bookmarkEnd w:id="136"/>
      <w:r>
        <w:rPr>
          <w:rFonts w:hint="default"/>
          <w:lang w:val="en-US" w:eastAsia="zh-CN"/>
        </w:rPr>
        <w:t xml:space="preserve"> </w:t>
      </w:r>
    </w:p>
    <w:p w14:paraId="1D6C5C7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本预案自发布之日起实施。 </w:t>
      </w:r>
    </w:p>
    <w:p w14:paraId="26FA2140">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55DDA90F">
      <w:pPr>
        <w:pStyle w:val="3"/>
        <w:bidi w:val="0"/>
        <w:rPr>
          <w:rFonts w:hint="eastAsia"/>
          <w:lang w:val="en-US" w:eastAsia="zh-CN"/>
        </w:rPr>
      </w:pPr>
      <w:bookmarkStart w:id="137" w:name="_Toc21777"/>
      <w:bookmarkStart w:id="138" w:name="_Toc18890"/>
      <w:r>
        <w:rPr>
          <w:rFonts w:hint="eastAsia"/>
          <w:lang w:val="en-US" w:eastAsia="zh-CN"/>
        </w:rPr>
        <w:t>附图1：汾阳市地理位置区域图</w:t>
      </w:r>
      <w:bookmarkEnd w:id="137"/>
      <w:bookmarkEnd w:id="138"/>
    </w:p>
    <w:p w14:paraId="27BE0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drawing>
          <wp:inline distT="0" distB="0" distL="114300" distR="114300">
            <wp:extent cx="7164705" cy="4916170"/>
            <wp:effectExtent l="0" t="0" r="17145" b="1778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35"/>
                    <a:stretch>
                      <a:fillRect/>
                    </a:stretch>
                  </pic:blipFill>
                  <pic:spPr>
                    <a:xfrm>
                      <a:off x="0" y="0"/>
                      <a:ext cx="7164705" cy="4916170"/>
                    </a:xfrm>
                    <a:prstGeom prst="rect">
                      <a:avLst/>
                    </a:prstGeom>
                    <a:noFill/>
                    <a:ln>
                      <a:noFill/>
                    </a:ln>
                  </pic:spPr>
                </pic:pic>
              </a:graphicData>
            </a:graphic>
          </wp:inline>
        </w:drawing>
      </w:r>
    </w:p>
    <w:p w14:paraId="556FD926">
      <w:pPr>
        <w:pStyle w:val="3"/>
        <w:bidi w:val="0"/>
        <w:rPr>
          <w:rFonts w:hint="eastAsia"/>
          <w:lang w:val="en-US" w:eastAsia="zh-CN"/>
        </w:rPr>
      </w:pPr>
      <w:bookmarkStart w:id="139" w:name="_Toc31142"/>
      <w:bookmarkStart w:id="140" w:name="_Toc30687"/>
      <w:r>
        <w:rPr>
          <w:rFonts w:hint="eastAsia"/>
          <w:lang w:val="en-US" w:eastAsia="zh-CN"/>
        </w:rPr>
        <w:t>附图2：汾阳市地表水系图</w:t>
      </w:r>
      <w:bookmarkEnd w:id="139"/>
      <w:bookmarkEnd w:id="140"/>
    </w:p>
    <w:p w14:paraId="4E9B5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
          <w:lang w:eastAsia="zh-CN"/>
        </w:rPr>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eastAsia="仿宋"/>
          <w:lang w:eastAsia="zh-CN"/>
        </w:rPr>
        <w:drawing>
          <wp:inline distT="0" distB="0" distL="114300" distR="114300">
            <wp:extent cx="4939030" cy="6555740"/>
            <wp:effectExtent l="0" t="0" r="16510" b="13970"/>
            <wp:docPr id="50" name="图片 25" descr="1d7dd32569aef1d168af0281bfde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descr="1d7dd32569aef1d168af0281bfdec00"/>
                    <pic:cNvPicPr>
                      <a:picLocks noChangeAspect="1"/>
                    </pic:cNvPicPr>
                  </pic:nvPicPr>
                  <pic:blipFill>
                    <a:blip r:embed="rId36"/>
                    <a:srcRect l="2864" t="15024" r="6731" b="9789"/>
                    <a:stretch>
                      <a:fillRect/>
                    </a:stretch>
                  </pic:blipFill>
                  <pic:spPr>
                    <a:xfrm rot="5400000">
                      <a:off x="0" y="0"/>
                      <a:ext cx="4939030" cy="6555740"/>
                    </a:xfrm>
                    <a:prstGeom prst="rect">
                      <a:avLst/>
                    </a:prstGeom>
                    <a:noFill/>
                    <a:ln>
                      <a:noFill/>
                    </a:ln>
                  </pic:spPr>
                </pic:pic>
              </a:graphicData>
            </a:graphic>
          </wp:inline>
        </w:drawing>
      </w:r>
    </w:p>
    <w:p w14:paraId="4CCFDC0F">
      <w:pPr>
        <w:pStyle w:val="3"/>
        <w:bidi w:val="0"/>
        <w:rPr>
          <w:rFonts w:hint="eastAsia"/>
          <w:lang w:val="en-US" w:eastAsia="zh-CN"/>
        </w:rPr>
      </w:pPr>
      <w:bookmarkStart w:id="141" w:name="_Toc18813"/>
      <w:r>
        <w:rPr>
          <w:rFonts w:hint="eastAsia"/>
          <w:lang w:val="en-US" w:eastAsia="zh-CN"/>
        </w:rPr>
        <w:t>附件1：应急组织体系图</w:t>
      </w:r>
      <w:bookmarkEnd w:id="141"/>
    </w:p>
    <w:p w14:paraId="0A2F1FBA">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drawing>
          <wp:inline distT="0" distB="0" distL="114300" distR="114300">
            <wp:extent cx="5727700" cy="5971540"/>
            <wp:effectExtent l="0" t="0" r="635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7"/>
                    <a:stretch>
                      <a:fillRect/>
                    </a:stretch>
                  </pic:blipFill>
                  <pic:spPr>
                    <a:xfrm>
                      <a:off x="0" y="0"/>
                      <a:ext cx="5727700" cy="5971540"/>
                    </a:xfrm>
                    <a:prstGeom prst="rect">
                      <a:avLst/>
                    </a:prstGeom>
                    <a:noFill/>
                    <a:ln>
                      <a:noFill/>
                    </a:ln>
                  </pic:spPr>
                </pic:pic>
              </a:graphicData>
            </a:graphic>
          </wp:inline>
        </w:drawing>
      </w:r>
    </w:p>
    <w:p w14:paraId="5BDBA675">
      <w:pPr>
        <w:pStyle w:val="3"/>
        <w:bidi w:val="0"/>
        <w:rPr>
          <w:rFonts w:hint="default"/>
          <w:lang w:val="en-US" w:eastAsia="zh-CN"/>
        </w:rPr>
      </w:pPr>
      <w:bookmarkStart w:id="142" w:name="_Toc17751"/>
      <w:bookmarkStart w:id="143" w:name="_Toc9217"/>
      <w:r>
        <w:rPr>
          <w:rFonts w:hint="default"/>
          <w:lang w:val="en-US" w:eastAsia="zh-CN"/>
        </w:rPr>
        <w:t>附件2：饮用水水源地突发环境事件应急响应工作路线图</w:t>
      </w:r>
      <w:bookmarkEnd w:id="142"/>
      <w:bookmarkEnd w:id="143"/>
    </w:p>
    <w:p w14:paraId="2C136055">
      <w:pPr>
        <w:keepNext w:val="0"/>
        <w:keepLines w:val="0"/>
        <w:pageBreakBefore w:val="0"/>
        <w:widowControl w:val="0"/>
        <w:kinsoku/>
        <w:wordWrap/>
        <w:overflowPunct/>
        <w:topLinePunct w:val="0"/>
        <w:autoSpaceDE/>
        <w:autoSpaceDN/>
        <w:bidi w:val="0"/>
        <w:adjustRightInd/>
        <w:snapToGrid/>
        <w:spacing w:after="0" w:line="360" w:lineRule="auto"/>
        <w:ind w:left="-420" w:leftChars="-150" w:right="0" w:firstLine="0"/>
        <w:jc w:val="righ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114300" distR="114300">
            <wp:extent cx="5730240" cy="6687820"/>
            <wp:effectExtent l="0" t="0" r="381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5730240" cy="6687820"/>
                    </a:xfrm>
                    <a:prstGeom prst="rect">
                      <a:avLst/>
                    </a:prstGeom>
                    <a:noFill/>
                    <a:ln>
                      <a:noFill/>
                    </a:ln>
                  </pic:spPr>
                </pic:pic>
              </a:graphicData>
            </a:graphic>
          </wp:inline>
        </w:drawing>
      </w:r>
      <w:r>
        <w:rPr>
          <w:rFonts w:hint="default" w:ascii="Times New Roman" w:hAnsi="Times New Roman" w:eastAsia="仿宋" w:cs="Times New Roman"/>
          <w:sz w:val="28"/>
          <w:szCs w:val="28"/>
        </w:rPr>
        <w:t xml:space="preserve"> </w:t>
      </w:r>
    </w:p>
    <w:p w14:paraId="3B39F728">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headerReference r:id="rId9" w:type="default"/>
          <w:footerReference r:id="rId10" w:type="default"/>
          <w:footerReference r:id="rId11"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仿宋" w:cs="Times New Roman"/>
          <w:sz w:val="28"/>
          <w:szCs w:val="28"/>
        </w:rPr>
        <w:br w:type="page"/>
      </w:r>
    </w:p>
    <w:p w14:paraId="7AD33CCE">
      <w:pPr>
        <w:pStyle w:val="3"/>
        <w:bidi w:val="0"/>
        <w:rPr>
          <w:rFonts w:hint="default"/>
          <w:lang w:val="en-US" w:eastAsia="zh-CN"/>
        </w:rPr>
      </w:pPr>
      <w:bookmarkStart w:id="144" w:name="_Toc15759"/>
      <w:bookmarkStart w:id="145" w:name="_Toc553"/>
      <w:r>
        <w:rPr>
          <w:rFonts w:hint="default"/>
          <w:lang w:val="en-US" w:eastAsia="zh-CN"/>
        </w:rPr>
        <w:t>附件</w:t>
      </w:r>
      <w:r>
        <w:rPr>
          <w:rFonts w:hint="eastAsia"/>
          <w:lang w:val="en-US" w:eastAsia="zh-CN"/>
        </w:rPr>
        <w:t>3</w:t>
      </w:r>
      <w:r>
        <w:rPr>
          <w:rFonts w:hint="default"/>
          <w:lang w:val="en-US" w:eastAsia="zh-CN"/>
        </w:rPr>
        <w:t>：培训、宣传与演练</w:t>
      </w:r>
      <w:bookmarkEnd w:id="144"/>
      <w:bookmarkEnd w:id="145"/>
    </w:p>
    <w:p w14:paraId="4B30A3C1">
      <w:pPr>
        <w:keepNext w:val="0"/>
        <w:keepLines w:val="0"/>
        <w:pageBreakBefore w:val="0"/>
        <w:widowControl w:val="0"/>
        <w:kinsoku/>
        <w:overflowPunct/>
        <w:topLinePunct w:val="0"/>
        <w:bidi w:val="0"/>
        <w:spacing w:after="3" w:line="360" w:lineRule="auto"/>
        <w:ind w:left="1685" w:right="1987"/>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 xml:space="preserve">培训记录表（样表） </w:t>
      </w:r>
    </w:p>
    <w:tbl>
      <w:tblPr>
        <w:tblStyle w:val="26"/>
        <w:tblW w:w="8714" w:type="dxa"/>
        <w:jc w:val="center"/>
        <w:tblLayout w:type="autofit"/>
        <w:tblCellMar>
          <w:top w:w="49" w:type="dxa"/>
          <w:left w:w="108" w:type="dxa"/>
          <w:bottom w:w="0" w:type="dxa"/>
          <w:right w:w="115" w:type="dxa"/>
        </w:tblCellMar>
      </w:tblPr>
      <w:tblGrid>
        <w:gridCol w:w="1450"/>
        <w:gridCol w:w="1453"/>
        <w:gridCol w:w="1337"/>
        <w:gridCol w:w="115"/>
        <w:gridCol w:w="1452"/>
        <w:gridCol w:w="1453"/>
        <w:gridCol w:w="1454"/>
      </w:tblGrid>
      <w:tr w14:paraId="01A53B27">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vAlign w:val="center"/>
          </w:tcPr>
          <w:p w14:paraId="4BE3DCE5">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培训目的：</w:t>
            </w:r>
          </w:p>
        </w:tc>
        <w:tc>
          <w:tcPr>
            <w:tcW w:w="1337" w:type="dxa"/>
            <w:tcBorders>
              <w:top w:val="single" w:color="000000" w:sz="4" w:space="0"/>
              <w:left w:val="nil"/>
              <w:bottom w:val="single" w:color="000000" w:sz="4" w:space="0"/>
              <w:right w:val="single" w:color="000000" w:sz="4" w:space="0"/>
            </w:tcBorders>
          </w:tcPr>
          <w:p w14:paraId="67743C0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3020" w:type="dxa"/>
            <w:gridSpan w:val="3"/>
            <w:tcBorders>
              <w:top w:val="single" w:color="000000" w:sz="4" w:space="0"/>
              <w:left w:val="single" w:color="000000" w:sz="4" w:space="0"/>
              <w:bottom w:val="single" w:color="000000" w:sz="4" w:space="0"/>
              <w:right w:val="nil"/>
            </w:tcBorders>
            <w:vAlign w:val="center"/>
          </w:tcPr>
          <w:p w14:paraId="32672D25">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培训日期：</w:t>
            </w:r>
          </w:p>
        </w:tc>
        <w:tc>
          <w:tcPr>
            <w:tcW w:w="1454" w:type="dxa"/>
            <w:tcBorders>
              <w:top w:val="single" w:color="000000" w:sz="4" w:space="0"/>
              <w:left w:val="nil"/>
              <w:bottom w:val="single" w:color="000000" w:sz="4" w:space="0"/>
              <w:right w:val="single" w:color="000000" w:sz="4" w:space="0"/>
            </w:tcBorders>
          </w:tcPr>
          <w:p w14:paraId="45DF330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122CD816">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vAlign w:val="center"/>
          </w:tcPr>
          <w:p w14:paraId="673E157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培训教师：</w:t>
            </w:r>
          </w:p>
        </w:tc>
        <w:tc>
          <w:tcPr>
            <w:tcW w:w="1337" w:type="dxa"/>
            <w:tcBorders>
              <w:top w:val="single" w:color="000000" w:sz="4" w:space="0"/>
              <w:left w:val="nil"/>
              <w:bottom w:val="single" w:color="000000" w:sz="4" w:space="0"/>
              <w:right w:val="single" w:color="000000" w:sz="4" w:space="0"/>
            </w:tcBorders>
          </w:tcPr>
          <w:p w14:paraId="547898F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3020" w:type="dxa"/>
            <w:gridSpan w:val="3"/>
            <w:tcBorders>
              <w:top w:val="single" w:color="000000" w:sz="4" w:space="0"/>
              <w:left w:val="single" w:color="000000" w:sz="4" w:space="0"/>
              <w:bottom w:val="single" w:color="000000" w:sz="4" w:space="0"/>
              <w:right w:val="nil"/>
            </w:tcBorders>
            <w:vAlign w:val="center"/>
          </w:tcPr>
          <w:p w14:paraId="4377C7D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培训地点：</w:t>
            </w:r>
          </w:p>
        </w:tc>
        <w:tc>
          <w:tcPr>
            <w:tcW w:w="1454" w:type="dxa"/>
            <w:tcBorders>
              <w:top w:val="single" w:color="000000" w:sz="4" w:space="0"/>
              <w:left w:val="nil"/>
              <w:bottom w:val="single" w:color="000000" w:sz="4" w:space="0"/>
              <w:right w:val="single" w:color="000000" w:sz="4" w:space="0"/>
            </w:tcBorders>
          </w:tcPr>
          <w:p w14:paraId="6B21990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085C40FC">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vAlign w:val="center"/>
          </w:tcPr>
          <w:p w14:paraId="36BDBAD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组织部门：</w:t>
            </w:r>
          </w:p>
        </w:tc>
        <w:tc>
          <w:tcPr>
            <w:tcW w:w="1337" w:type="dxa"/>
            <w:tcBorders>
              <w:top w:val="single" w:color="000000" w:sz="4" w:space="0"/>
              <w:left w:val="nil"/>
              <w:bottom w:val="single" w:color="000000" w:sz="4" w:space="0"/>
              <w:right w:val="single" w:color="000000" w:sz="4" w:space="0"/>
            </w:tcBorders>
          </w:tcPr>
          <w:p w14:paraId="436F2F71">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3020" w:type="dxa"/>
            <w:gridSpan w:val="3"/>
            <w:tcBorders>
              <w:top w:val="single" w:color="000000" w:sz="4" w:space="0"/>
              <w:left w:val="single" w:color="000000" w:sz="4" w:space="0"/>
              <w:bottom w:val="single" w:color="000000" w:sz="4" w:space="0"/>
              <w:right w:val="nil"/>
            </w:tcBorders>
            <w:vAlign w:val="center"/>
          </w:tcPr>
          <w:p w14:paraId="34232B9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负责人：</w:t>
            </w:r>
          </w:p>
        </w:tc>
        <w:tc>
          <w:tcPr>
            <w:tcW w:w="1454" w:type="dxa"/>
            <w:tcBorders>
              <w:top w:val="single" w:color="000000" w:sz="4" w:space="0"/>
              <w:left w:val="nil"/>
              <w:bottom w:val="single" w:color="000000" w:sz="4" w:space="0"/>
              <w:right w:val="single" w:color="000000" w:sz="4" w:space="0"/>
            </w:tcBorders>
          </w:tcPr>
          <w:p w14:paraId="2417115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7C3A3F75">
        <w:tblPrEx>
          <w:tblCellMar>
            <w:top w:w="49" w:type="dxa"/>
            <w:left w:w="108" w:type="dxa"/>
            <w:bottom w:w="0" w:type="dxa"/>
            <w:right w:w="115" w:type="dxa"/>
          </w:tblCellMar>
        </w:tblPrEx>
        <w:trPr>
          <w:trHeight w:val="925" w:hRule="atLeast"/>
          <w:jc w:val="center"/>
        </w:trPr>
        <w:tc>
          <w:tcPr>
            <w:tcW w:w="2903" w:type="dxa"/>
            <w:gridSpan w:val="2"/>
            <w:tcBorders>
              <w:top w:val="single" w:color="000000" w:sz="4" w:space="0"/>
              <w:left w:val="single" w:color="000000" w:sz="4" w:space="0"/>
              <w:bottom w:val="single" w:color="000000" w:sz="4" w:space="0"/>
              <w:right w:val="nil"/>
            </w:tcBorders>
          </w:tcPr>
          <w:p w14:paraId="2D10561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培训摘要：</w:t>
            </w:r>
          </w:p>
        </w:tc>
        <w:tc>
          <w:tcPr>
            <w:tcW w:w="4357" w:type="dxa"/>
            <w:gridSpan w:val="4"/>
            <w:tcBorders>
              <w:top w:val="single" w:color="000000" w:sz="4" w:space="0"/>
              <w:left w:val="nil"/>
              <w:bottom w:val="single" w:color="000000" w:sz="4" w:space="0"/>
              <w:right w:val="nil"/>
            </w:tcBorders>
          </w:tcPr>
          <w:p w14:paraId="0470AAF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nil"/>
              <w:bottom w:val="single" w:color="000000" w:sz="4" w:space="0"/>
              <w:right w:val="single" w:color="000000" w:sz="4" w:space="0"/>
            </w:tcBorders>
          </w:tcPr>
          <w:p w14:paraId="3E852F7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0E291FE8">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tcPr>
          <w:p w14:paraId="07E966E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ab/>
            </w:r>
          </w:p>
        </w:tc>
        <w:tc>
          <w:tcPr>
            <w:tcW w:w="4357" w:type="dxa"/>
            <w:gridSpan w:val="4"/>
            <w:tcBorders>
              <w:top w:val="single" w:color="000000" w:sz="4" w:space="0"/>
              <w:left w:val="nil"/>
              <w:bottom w:val="single" w:color="000000" w:sz="4" w:space="0"/>
              <w:right w:val="nil"/>
            </w:tcBorders>
            <w:vAlign w:val="center"/>
          </w:tcPr>
          <w:p w14:paraId="026B5552">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培训参加人员签到记录</w:t>
            </w:r>
          </w:p>
        </w:tc>
        <w:tc>
          <w:tcPr>
            <w:tcW w:w="1454" w:type="dxa"/>
            <w:tcBorders>
              <w:top w:val="single" w:color="000000" w:sz="4" w:space="0"/>
              <w:left w:val="nil"/>
              <w:bottom w:val="single" w:color="000000" w:sz="4" w:space="0"/>
              <w:right w:val="single" w:color="000000" w:sz="4" w:space="0"/>
            </w:tcBorders>
          </w:tcPr>
          <w:p w14:paraId="10268403">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106F6D82">
        <w:tblPrEx>
          <w:tblCellMar>
            <w:top w:w="49" w:type="dxa"/>
            <w:left w:w="108" w:type="dxa"/>
            <w:bottom w:w="0" w:type="dxa"/>
            <w:right w:w="115" w:type="dxa"/>
          </w:tblCellMar>
        </w:tblPrEx>
        <w:trPr>
          <w:trHeight w:val="722" w:hRule="atLeast"/>
          <w:jc w:val="center"/>
        </w:trPr>
        <w:tc>
          <w:tcPr>
            <w:tcW w:w="1450" w:type="dxa"/>
            <w:tcBorders>
              <w:top w:val="single" w:color="000000" w:sz="4" w:space="0"/>
              <w:left w:val="single" w:color="000000" w:sz="4" w:space="0"/>
              <w:bottom w:val="single" w:color="000000" w:sz="4" w:space="0"/>
              <w:right w:val="single" w:color="000000" w:sz="4" w:space="0"/>
            </w:tcBorders>
            <w:vAlign w:val="center"/>
          </w:tcPr>
          <w:p w14:paraId="4CB4EAE1">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序号</w:t>
            </w:r>
          </w:p>
        </w:tc>
        <w:tc>
          <w:tcPr>
            <w:tcW w:w="1453" w:type="dxa"/>
            <w:tcBorders>
              <w:top w:val="single" w:color="000000" w:sz="4" w:space="0"/>
              <w:left w:val="single" w:color="000000" w:sz="4" w:space="0"/>
              <w:bottom w:val="single" w:color="000000" w:sz="4" w:space="0"/>
              <w:right w:val="single" w:color="000000" w:sz="4" w:space="0"/>
            </w:tcBorders>
            <w:vAlign w:val="center"/>
          </w:tcPr>
          <w:p w14:paraId="333F454C">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姓名</w:t>
            </w:r>
          </w:p>
        </w:tc>
        <w:tc>
          <w:tcPr>
            <w:tcW w:w="1452" w:type="dxa"/>
            <w:gridSpan w:val="2"/>
            <w:tcBorders>
              <w:top w:val="single" w:color="000000" w:sz="4" w:space="0"/>
              <w:left w:val="single" w:color="000000" w:sz="4" w:space="0"/>
              <w:bottom w:val="single" w:color="000000" w:sz="4" w:space="0"/>
              <w:right w:val="single" w:color="000000" w:sz="4" w:space="0"/>
            </w:tcBorders>
            <w:vAlign w:val="center"/>
          </w:tcPr>
          <w:p w14:paraId="0718E33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部门/队组</w:t>
            </w:r>
          </w:p>
        </w:tc>
        <w:tc>
          <w:tcPr>
            <w:tcW w:w="1452" w:type="dxa"/>
            <w:tcBorders>
              <w:top w:val="single" w:color="000000" w:sz="4" w:space="0"/>
              <w:left w:val="single" w:color="000000" w:sz="4" w:space="0"/>
              <w:bottom w:val="single" w:color="000000" w:sz="4" w:space="0"/>
              <w:right w:val="single" w:color="000000" w:sz="4" w:space="0"/>
            </w:tcBorders>
            <w:vAlign w:val="center"/>
          </w:tcPr>
          <w:p w14:paraId="4A63DF87">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岗位</w:t>
            </w:r>
          </w:p>
        </w:tc>
        <w:tc>
          <w:tcPr>
            <w:tcW w:w="1453" w:type="dxa"/>
            <w:tcBorders>
              <w:top w:val="single" w:color="000000" w:sz="4" w:space="0"/>
              <w:left w:val="single" w:color="000000" w:sz="4" w:space="0"/>
              <w:bottom w:val="single" w:color="000000" w:sz="4" w:space="0"/>
              <w:right w:val="single" w:color="000000" w:sz="4" w:space="0"/>
            </w:tcBorders>
          </w:tcPr>
          <w:p w14:paraId="75D6DA9C">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上次培训时间</w:t>
            </w:r>
          </w:p>
        </w:tc>
        <w:tc>
          <w:tcPr>
            <w:tcW w:w="1454" w:type="dxa"/>
            <w:tcBorders>
              <w:top w:val="single" w:color="000000" w:sz="4" w:space="0"/>
              <w:left w:val="single" w:color="000000" w:sz="4" w:space="0"/>
              <w:bottom w:val="single" w:color="000000" w:sz="4" w:space="0"/>
              <w:right w:val="single" w:color="000000" w:sz="4" w:space="0"/>
            </w:tcBorders>
            <w:vAlign w:val="center"/>
          </w:tcPr>
          <w:p w14:paraId="2E22598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备注</w:t>
            </w:r>
          </w:p>
        </w:tc>
      </w:tr>
      <w:tr w14:paraId="2F02A473">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6F5389A2">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51A8FE7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gridSpan w:val="2"/>
            <w:tcBorders>
              <w:top w:val="single" w:color="000000" w:sz="4" w:space="0"/>
              <w:left w:val="single" w:color="000000" w:sz="4" w:space="0"/>
              <w:bottom w:val="single" w:color="000000" w:sz="4" w:space="0"/>
              <w:right w:val="single" w:color="000000" w:sz="4" w:space="0"/>
            </w:tcBorders>
          </w:tcPr>
          <w:p w14:paraId="3D5A035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tcBorders>
              <w:top w:val="single" w:color="000000" w:sz="4" w:space="0"/>
              <w:left w:val="single" w:color="000000" w:sz="4" w:space="0"/>
              <w:bottom w:val="single" w:color="000000" w:sz="4" w:space="0"/>
              <w:right w:val="single" w:color="000000" w:sz="4" w:space="0"/>
            </w:tcBorders>
          </w:tcPr>
          <w:p w14:paraId="57DBF0B9">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53DA32E9">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single" w:color="000000" w:sz="4" w:space="0"/>
              <w:bottom w:val="single" w:color="000000" w:sz="4" w:space="0"/>
              <w:right w:val="single" w:color="000000" w:sz="4" w:space="0"/>
            </w:tcBorders>
          </w:tcPr>
          <w:p w14:paraId="7AE3F4A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1D2A7951">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6B0FDF7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04D061F3">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gridSpan w:val="2"/>
            <w:tcBorders>
              <w:top w:val="single" w:color="000000" w:sz="4" w:space="0"/>
              <w:left w:val="single" w:color="000000" w:sz="4" w:space="0"/>
              <w:bottom w:val="single" w:color="000000" w:sz="4" w:space="0"/>
              <w:right w:val="single" w:color="000000" w:sz="4" w:space="0"/>
            </w:tcBorders>
          </w:tcPr>
          <w:p w14:paraId="6AB2319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tcBorders>
              <w:top w:val="single" w:color="000000" w:sz="4" w:space="0"/>
              <w:left w:val="single" w:color="000000" w:sz="4" w:space="0"/>
              <w:bottom w:val="single" w:color="000000" w:sz="4" w:space="0"/>
              <w:right w:val="single" w:color="000000" w:sz="4" w:space="0"/>
            </w:tcBorders>
          </w:tcPr>
          <w:p w14:paraId="75B4071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435D6EC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single" w:color="000000" w:sz="4" w:space="0"/>
              <w:bottom w:val="single" w:color="000000" w:sz="4" w:space="0"/>
              <w:right w:val="single" w:color="000000" w:sz="4" w:space="0"/>
            </w:tcBorders>
          </w:tcPr>
          <w:p w14:paraId="797C336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20722326">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76D5E35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3DC7DC2C">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gridSpan w:val="2"/>
            <w:tcBorders>
              <w:top w:val="single" w:color="000000" w:sz="4" w:space="0"/>
              <w:left w:val="single" w:color="000000" w:sz="4" w:space="0"/>
              <w:bottom w:val="single" w:color="000000" w:sz="4" w:space="0"/>
              <w:right w:val="single" w:color="000000" w:sz="4" w:space="0"/>
            </w:tcBorders>
          </w:tcPr>
          <w:p w14:paraId="4C52B0B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tcBorders>
              <w:top w:val="single" w:color="000000" w:sz="4" w:space="0"/>
              <w:left w:val="single" w:color="000000" w:sz="4" w:space="0"/>
              <w:bottom w:val="single" w:color="000000" w:sz="4" w:space="0"/>
              <w:right w:val="single" w:color="000000" w:sz="4" w:space="0"/>
            </w:tcBorders>
          </w:tcPr>
          <w:p w14:paraId="4310075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6EE1998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single" w:color="000000" w:sz="4" w:space="0"/>
              <w:bottom w:val="single" w:color="000000" w:sz="4" w:space="0"/>
              <w:right w:val="single" w:color="000000" w:sz="4" w:space="0"/>
            </w:tcBorders>
          </w:tcPr>
          <w:p w14:paraId="42F23F4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59C28A2B">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73030CE2">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7F0A470D">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gridSpan w:val="2"/>
            <w:tcBorders>
              <w:top w:val="single" w:color="000000" w:sz="4" w:space="0"/>
              <w:left w:val="single" w:color="000000" w:sz="4" w:space="0"/>
              <w:bottom w:val="single" w:color="000000" w:sz="4" w:space="0"/>
              <w:right w:val="single" w:color="000000" w:sz="4" w:space="0"/>
            </w:tcBorders>
          </w:tcPr>
          <w:p w14:paraId="474E056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tcBorders>
              <w:top w:val="single" w:color="000000" w:sz="4" w:space="0"/>
              <w:left w:val="single" w:color="000000" w:sz="4" w:space="0"/>
              <w:bottom w:val="single" w:color="000000" w:sz="4" w:space="0"/>
              <w:right w:val="single" w:color="000000" w:sz="4" w:space="0"/>
            </w:tcBorders>
          </w:tcPr>
          <w:p w14:paraId="59673997">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4C5FA43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4" w:type="dxa"/>
            <w:tcBorders>
              <w:top w:val="single" w:color="000000" w:sz="4" w:space="0"/>
              <w:left w:val="single" w:color="000000" w:sz="4" w:space="0"/>
              <w:bottom w:val="single" w:color="000000" w:sz="4" w:space="0"/>
              <w:right w:val="single" w:color="000000" w:sz="4" w:space="0"/>
            </w:tcBorders>
          </w:tcPr>
          <w:p w14:paraId="57BB5BA1">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r>
      <w:tr w14:paraId="0205F27A">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240CD61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0E93399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gridSpan w:val="2"/>
            <w:tcBorders>
              <w:top w:val="single" w:color="000000" w:sz="4" w:space="0"/>
              <w:left w:val="single" w:color="000000" w:sz="4" w:space="0"/>
              <w:bottom w:val="single" w:color="000000" w:sz="4" w:space="0"/>
              <w:right w:val="single" w:color="000000" w:sz="4" w:space="0"/>
            </w:tcBorders>
          </w:tcPr>
          <w:p w14:paraId="121878A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tcBorders>
              <w:top w:val="single" w:color="000000" w:sz="4" w:space="0"/>
              <w:left w:val="single" w:color="000000" w:sz="4" w:space="0"/>
              <w:bottom w:val="single" w:color="000000" w:sz="4" w:space="0"/>
              <w:right w:val="single" w:color="000000" w:sz="4" w:space="0"/>
            </w:tcBorders>
          </w:tcPr>
          <w:p w14:paraId="401F4E2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62FBE13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4" w:type="dxa"/>
            <w:tcBorders>
              <w:top w:val="single" w:color="000000" w:sz="4" w:space="0"/>
              <w:left w:val="single" w:color="000000" w:sz="4" w:space="0"/>
              <w:bottom w:val="single" w:color="000000" w:sz="4" w:space="0"/>
              <w:right w:val="single" w:color="000000" w:sz="4" w:space="0"/>
            </w:tcBorders>
          </w:tcPr>
          <w:p w14:paraId="237DBD3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r>
    </w:tbl>
    <w:p w14:paraId="34BE9FB4">
      <w:pPr>
        <w:bidi w:val="0"/>
        <w:rPr>
          <w:rFonts w:hint="default"/>
        </w:rPr>
      </w:pPr>
      <w:bookmarkStart w:id="146" w:name="_Toc8678"/>
      <w:bookmarkStart w:id="147" w:name="_Toc4073"/>
    </w:p>
    <w:p w14:paraId="61706DEA">
      <w:pPr>
        <w:bidi w:val="0"/>
        <w:rPr>
          <w:rFonts w:hint="default"/>
        </w:rPr>
      </w:pPr>
    </w:p>
    <w:p w14:paraId="039CF70E">
      <w:pPr>
        <w:bidi w:val="0"/>
        <w:rPr>
          <w:rFonts w:hint="default"/>
        </w:rPr>
      </w:pPr>
    </w:p>
    <w:p w14:paraId="4EC8C56A">
      <w:pPr>
        <w:bidi w:val="0"/>
        <w:rPr>
          <w:rFonts w:hint="default"/>
        </w:rPr>
      </w:pPr>
    </w:p>
    <w:p w14:paraId="6A48C9C1">
      <w:pPr>
        <w:bidi w:val="0"/>
        <w:rPr>
          <w:rFonts w:hint="default"/>
        </w:rPr>
      </w:pPr>
    </w:p>
    <w:p w14:paraId="3ACD28B1">
      <w:pPr>
        <w:bidi w:val="0"/>
        <w:rPr>
          <w:rFonts w:hint="default"/>
        </w:rPr>
      </w:pPr>
    </w:p>
    <w:p w14:paraId="6F8BD106">
      <w:pPr>
        <w:bidi w:val="0"/>
        <w:rPr>
          <w:rFonts w:hint="default"/>
        </w:rPr>
      </w:pPr>
    </w:p>
    <w:p w14:paraId="61F86F5B">
      <w:pPr>
        <w:bidi w:val="0"/>
        <w:rPr>
          <w:rFonts w:hint="default"/>
        </w:rPr>
      </w:pPr>
    </w:p>
    <w:p w14:paraId="6123C743">
      <w:pPr>
        <w:bidi w:val="0"/>
        <w:rPr>
          <w:rFonts w:hint="default"/>
        </w:rPr>
      </w:pPr>
    </w:p>
    <w:p w14:paraId="56E90E1D">
      <w:pPr>
        <w:keepNext w:val="0"/>
        <w:keepLines w:val="0"/>
        <w:pageBreakBefore w:val="0"/>
        <w:widowControl w:val="0"/>
        <w:kinsoku/>
        <w:overflowPunct/>
        <w:topLinePunct w:val="0"/>
        <w:bidi w:val="0"/>
        <w:spacing w:after="3" w:line="360" w:lineRule="auto"/>
        <w:ind w:left="1685" w:right="1867"/>
        <w:jc w:val="center"/>
        <w:outlineLvl w:val="0"/>
        <w:rPr>
          <w:rFonts w:hint="default" w:ascii="Times New Roman" w:hAnsi="Times New Roman" w:eastAsia="仿宋" w:cs="Times New Roman"/>
          <w:b/>
          <w:bCs/>
          <w:sz w:val="28"/>
          <w:szCs w:val="28"/>
        </w:rPr>
        <w:sectPr>
          <w:footerReference r:id="rId15" w:type="first"/>
          <w:headerReference r:id="rId12" w:type="default"/>
          <w:footerReference r:id="rId13" w:type="default"/>
          <w:footerReference r:id="rId14"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4E7CB5E1">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应急演练记录</w:t>
      </w:r>
      <w:bookmarkEnd w:id="146"/>
      <w:bookmarkEnd w:id="147"/>
    </w:p>
    <w:tbl>
      <w:tblPr>
        <w:tblStyle w:val="26"/>
        <w:tblW w:w="8721" w:type="dxa"/>
        <w:jc w:val="center"/>
        <w:tblLayout w:type="autofit"/>
        <w:tblCellMar>
          <w:top w:w="88" w:type="dxa"/>
          <w:left w:w="106" w:type="dxa"/>
          <w:bottom w:w="0" w:type="dxa"/>
          <w:right w:w="110" w:type="dxa"/>
        </w:tblCellMar>
      </w:tblPr>
      <w:tblGrid>
        <w:gridCol w:w="1656"/>
        <w:gridCol w:w="2905"/>
        <w:gridCol w:w="302"/>
        <w:gridCol w:w="1337"/>
        <w:gridCol w:w="2521"/>
      </w:tblGrid>
      <w:tr w14:paraId="04383F04">
        <w:tblPrEx>
          <w:tblCellMar>
            <w:top w:w="88" w:type="dxa"/>
            <w:left w:w="106" w:type="dxa"/>
            <w:bottom w:w="0" w:type="dxa"/>
            <w:right w:w="110" w:type="dxa"/>
          </w:tblCellMar>
        </w:tblPrEx>
        <w:trPr>
          <w:trHeight w:val="568" w:hRule="atLeast"/>
          <w:jc w:val="center"/>
        </w:trPr>
        <w:tc>
          <w:tcPr>
            <w:tcW w:w="4561" w:type="dxa"/>
            <w:gridSpan w:val="2"/>
            <w:tcBorders>
              <w:top w:val="single" w:color="000000" w:sz="4" w:space="0"/>
              <w:left w:val="single" w:color="000000" w:sz="4" w:space="0"/>
              <w:bottom w:val="single" w:color="000000" w:sz="4" w:space="0"/>
              <w:right w:val="nil"/>
            </w:tcBorders>
            <w:vAlign w:val="center"/>
          </w:tcPr>
          <w:p w14:paraId="03ECCEE5">
            <w:pPr>
              <w:keepNext w:val="0"/>
              <w:keepLines w:val="0"/>
              <w:pageBreakBefore w:val="0"/>
              <w:widowControl w:val="0"/>
              <w:tabs>
                <w:tab w:val="center" w:pos="1658"/>
              </w:tabs>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编号： </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 xml:space="preserve"> </w:t>
            </w:r>
          </w:p>
        </w:tc>
        <w:tc>
          <w:tcPr>
            <w:tcW w:w="4160" w:type="dxa"/>
            <w:gridSpan w:val="3"/>
            <w:tcBorders>
              <w:top w:val="single" w:color="000000" w:sz="4" w:space="0"/>
              <w:left w:val="nil"/>
              <w:bottom w:val="single" w:color="000000" w:sz="4" w:space="0"/>
              <w:right w:val="single" w:color="000000" w:sz="4" w:space="0"/>
            </w:tcBorders>
          </w:tcPr>
          <w:p w14:paraId="2D7D995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sz w:val="28"/>
                <w:szCs w:val="28"/>
              </w:rPr>
            </w:pPr>
          </w:p>
        </w:tc>
      </w:tr>
      <w:tr w14:paraId="01190781">
        <w:tblPrEx>
          <w:tblCellMar>
            <w:top w:w="88" w:type="dxa"/>
            <w:left w:w="106" w:type="dxa"/>
            <w:bottom w:w="0" w:type="dxa"/>
            <w:right w:w="110" w:type="dxa"/>
          </w:tblCellMar>
        </w:tblPrEx>
        <w:trPr>
          <w:trHeight w:val="648" w:hRule="atLeast"/>
          <w:jc w:val="center"/>
        </w:trPr>
        <w:tc>
          <w:tcPr>
            <w:tcW w:w="1656" w:type="dxa"/>
            <w:tcBorders>
              <w:top w:val="single" w:color="000000" w:sz="4" w:space="0"/>
              <w:left w:val="single" w:color="000000" w:sz="4" w:space="0"/>
              <w:bottom w:val="single" w:color="000000" w:sz="4" w:space="0"/>
              <w:right w:val="single" w:color="000000" w:sz="4" w:space="0"/>
            </w:tcBorders>
            <w:vAlign w:val="center"/>
          </w:tcPr>
          <w:p w14:paraId="11A7A0EA">
            <w:pPr>
              <w:keepNext w:val="0"/>
              <w:keepLines w:val="0"/>
              <w:pageBreakBefore w:val="0"/>
              <w:widowControl w:val="0"/>
              <w:kinsoku/>
              <w:wordWrap/>
              <w:overflowPunct/>
              <w:topLinePunct w:val="0"/>
              <w:autoSpaceDE/>
              <w:autoSpaceDN/>
              <w:bidi w:val="0"/>
              <w:adjustRightInd/>
              <w:snapToGrid/>
              <w:spacing w:after="0" w:line="240" w:lineRule="auto"/>
              <w:ind w:left="24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演练时间 </w:t>
            </w:r>
          </w:p>
        </w:tc>
        <w:tc>
          <w:tcPr>
            <w:tcW w:w="2905" w:type="dxa"/>
            <w:tcBorders>
              <w:top w:val="single" w:color="000000" w:sz="4" w:space="0"/>
              <w:left w:val="single" w:color="000000" w:sz="4" w:space="0"/>
              <w:bottom w:val="single" w:color="000000" w:sz="4" w:space="0"/>
              <w:right w:val="nil"/>
            </w:tcBorders>
          </w:tcPr>
          <w:p w14:paraId="760CB405">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c>
          <w:tcPr>
            <w:tcW w:w="302" w:type="dxa"/>
            <w:tcBorders>
              <w:top w:val="single" w:color="000000" w:sz="4" w:space="0"/>
              <w:left w:val="nil"/>
              <w:bottom w:val="single" w:color="000000" w:sz="4" w:space="0"/>
              <w:right w:val="single" w:color="000000" w:sz="4" w:space="0"/>
            </w:tcBorders>
          </w:tcPr>
          <w:p w14:paraId="004D6E94">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c>
          <w:tcPr>
            <w:tcW w:w="1337" w:type="dxa"/>
            <w:tcBorders>
              <w:top w:val="single" w:color="000000" w:sz="4" w:space="0"/>
              <w:left w:val="single" w:color="000000" w:sz="4" w:space="0"/>
              <w:bottom w:val="single" w:color="000000" w:sz="4" w:space="0"/>
              <w:right w:val="single" w:color="000000" w:sz="4" w:space="0"/>
            </w:tcBorders>
            <w:vAlign w:val="center"/>
          </w:tcPr>
          <w:p w14:paraId="2F3DB636">
            <w:pPr>
              <w:keepNext w:val="0"/>
              <w:keepLines w:val="0"/>
              <w:pageBreakBefore w:val="0"/>
              <w:widowControl w:val="0"/>
              <w:kinsoku/>
              <w:wordWrap/>
              <w:overflowPunct/>
              <w:topLinePunct w:val="0"/>
              <w:autoSpaceDE/>
              <w:autoSpaceDN/>
              <w:bidi w:val="0"/>
              <w:adjustRightInd/>
              <w:snapToGrid/>
              <w:spacing w:after="0" w:line="240" w:lineRule="auto"/>
              <w:ind w:left="82" w:right="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演练地点 </w:t>
            </w:r>
          </w:p>
        </w:tc>
        <w:tc>
          <w:tcPr>
            <w:tcW w:w="2521" w:type="dxa"/>
            <w:tcBorders>
              <w:top w:val="single" w:color="000000" w:sz="4" w:space="0"/>
              <w:left w:val="single" w:color="000000" w:sz="4" w:space="0"/>
              <w:bottom w:val="single" w:color="000000" w:sz="4" w:space="0"/>
              <w:right w:val="single" w:color="000000" w:sz="4" w:space="0"/>
            </w:tcBorders>
          </w:tcPr>
          <w:p w14:paraId="1DBEAD10">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r>
      <w:tr w14:paraId="2E1B079B">
        <w:tblPrEx>
          <w:tblCellMar>
            <w:top w:w="88" w:type="dxa"/>
            <w:left w:w="106" w:type="dxa"/>
            <w:bottom w:w="0" w:type="dxa"/>
            <w:right w:w="110" w:type="dxa"/>
          </w:tblCellMar>
        </w:tblPrEx>
        <w:trPr>
          <w:trHeight w:val="646" w:hRule="atLeast"/>
          <w:jc w:val="center"/>
        </w:trPr>
        <w:tc>
          <w:tcPr>
            <w:tcW w:w="1656" w:type="dxa"/>
            <w:tcBorders>
              <w:top w:val="single" w:color="000000" w:sz="4" w:space="0"/>
              <w:left w:val="single" w:color="000000" w:sz="4" w:space="0"/>
              <w:bottom w:val="single" w:color="000000" w:sz="4" w:space="0"/>
              <w:right w:val="single" w:color="000000" w:sz="4" w:space="0"/>
            </w:tcBorders>
            <w:vAlign w:val="center"/>
          </w:tcPr>
          <w:p w14:paraId="1B9D65F8">
            <w:pPr>
              <w:keepNext w:val="0"/>
              <w:keepLines w:val="0"/>
              <w:pageBreakBefore w:val="0"/>
              <w:widowControl w:val="0"/>
              <w:kinsoku/>
              <w:wordWrap/>
              <w:overflowPunct/>
              <w:topLinePunct w:val="0"/>
              <w:autoSpaceDE/>
              <w:autoSpaceDN/>
              <w:bidi w:val="0"/>
              <w:adjustRightInd/>
              <w:snapToGrid/>
              <w:spacing w:after="0" w:line="240" w:lineRule="auto"/>
              <w:ind w:left="24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演练名称 </w:t>
            </w:r>
          </w:p>
        </w:tc>
        <w:tc>
          <w:tcPr>
            <w:tcW w:w="2905" w:type="dxa"/>
            <w:tcBorders>
              <w:top w:val="single" w:color="000000" w:sz="4" w:space="0"/>
              <w:left w:val="single" w:color="000000" w:sz="4" w:space="0"/>
              <w:bottom w:val="single" w:color="000000" w:sz="4" w:space="0"/>
              <w:right w:val="nil"/>
            </w:tcBorders>
          </w:tcPr>
          <w:p w14:paraId="5E9D185A">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c>
          <w:tcPr>
            <w:tcW w:w="302" w:type="dxa"/>
            <w:tcBorders>
              <w:top w:val="single" w:color="000000" w:sz="4" w:space="0"/>
              <w:left w:val="nil"/>
              <w:bottom w:val="single" w:color="000000" w:sz="4" w:space="0"/>
              <w:right w:val="single" w:color="000000" w:sz="4" w:space="0"/>
            </w:tcBorders>
          </w:tcPr>
          <w:p w14:paraId="7D834847">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c>
          <w:tcPr>
            <w:tcW w:w="1337" w:type="dxa"/>
            <w:tcBorders>
              <w:top w:val="single" w:color="000000" w:sz="4" w:space="0"/>
              <w:left w:val="single" w:color="000000" w:sz="4" w:space="0"/>
              <w:bottom w:val="single" w:color="000000" w:sz="4" w:space="0"/>
              <w:right w:val="single" w:color="000000" w:sz="4" w:space="0"/>
            </w:tcBorders>
            <w:vAlign w:val="center"/>
          </w:tcPr>
          <w:p w14:paraId="7D7611E0">
            <w:pPr>
              <w:keepNext w:val="0"/>
              <w:keepLines w:val="0"/>
              <w:pageBreakBefore w:val="0"/>
              <w:widowControl w:val="0"/>
              <w:kinsoku/>
              <w:wordWrap/>
              <w:overflowPunct/>
              <w:topLinePunct w:val="0"/>
              <w:autoSpaceDE/>
              <w:autoSpaceDN/>
              <w:bidi w:val="0"/>
              <w:adjustRightInd/>
              <w:snapToGrid/>
              <w:spacing w:after="0" w:line="240" w:lineRule="auto"/>
              <w:ind w:left="20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指挥人 </w:t>
            </w:r>
          </w:p>
        </w:tc>
        <w:tc>
          <w:tcPr>
            <w:tcW w:w="2521" w:type="dxa"/>
            <w:tcBorders>
              <w:top w:val="single" w:color="000000" w:sz="4" w:space="0"/>
              <w:left w:val="single" w:color="000000" w:sz="4" w:space="0"/>
              <w:bottom w:val="single" w:color="000000" w:sz="4" w:space="0"/>
              <w:right w:val="single" w:color="000000" w:sz="4" w:space="0"/>
            </w:tcBorders>
          </w:tcPr>
          <w:p w14:paraId="1655B5D2">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r>
      <w:tr w14:paraId="7C6A60A6">
        <w:tblPrEx>
          <w:tblCellMar>
            <w:top w:w="88" w:type="dxa"/>
            <w:left w:w="106" w:type="dxa"/>
            <w:bottom w:w="0" w:type="dxa"/>
            <w:right w:w="110" w:type="dxa"/>
          </w:tblCellMar>
        </w:tblPrEx>
        <w:trPr>
          <w:trHeight w:val="1485" w:hRule="atLeast"/>
          <w:jc w:val="center"/>
        </w:trPr>
        <w:tc>
          <w:tcPr>
            <w:tcW w:w="4561" w:type="dxa"/>
            <w:gridSpan w:val="2"/>
            <w:tcBorders>
              <w:top w:val="single" w:color="000000" w:sz="4" w:space="0"/>
              <w:left w:val="single" w:color="000000" w:sz="4" w:space="0"/>
              <w:bottom w:val="single" w:color="000000" w:sz="4" w:space="0"/>
              <w:right w:val="nil"/>
            </w:tcBorders>
          </w:tcPr>
          <w:p w14:paraId="0A182041">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参加人： </w:t>
            </w:r>
          </w:p>
        </w:tc>
        <w:tc>
          <w:tcPr>
            <w:tcW w:w="4160" w:type="dxa"/>
            <w:gridSpan w:val="3"/>
            <w:tcBorders>
              <w:top w:val="single" w:color="000000" w:sz="4" w:space="0"/>
              <w:left w:val="nil"/>
              <w:bottom w:val="single" w:color="000000" w:sz="4" w:space="0"/>
              <w:right w:val="single" w:color="000000" w:sz="4" w:space="0"/>
            </w:tcBorders>
          </w:tcPr>
          <w:p w14:paraId="7AAE31BF">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r>
      <w:tr w14:paraId="7217789E">
        <w:tblPrEx>
          <w:tblCellMar>
            <w:top w:w="88" w:type="dxa"/>
            <w:left w:w="106" w:type="dxa"/>
            <w:bottom w:w="0" w:type="dxa"/>
            <w:right w:w="110" w:type="dxa"/>
          </w:tblCellMar>
        </w:tblPrEx>
        <w:trPr>
          <w:trHeight w:val="1929" w:hRule="atLeast"/>
          <w:jc w:val="center"/>
        </w:trPr>
        <w:tc>
          <w:tcPr>
            <w:tcW w:w="4561" w:type="dxa"/>
            <w:gridSpan w:val="2"/>
            <w:tcBorders>
              <w:top w:val="single" w:color="000000" w:sz="4" w:space="0"/>
              <w:left w:val="single" w:color="000000" w:sz="4" w:space="0"/>
              <w:bottom w:val="single" w:color="000000" w:sz="4" w:space="0"/>
              <w:right w:val="nil"/>
            </w:tcBorders>
          </w:tcPr>
          <w:p w14:paraId="468F59D0">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演练过程： </w:t>
            </w:r>
          </w:p>
        </w:tc>
        <w:tc>
          <w:tcPr>
            <w:tcW w:w="4160" w:type="dxa"/>
            <w:gridSpan w:val="3"/>
            <w:tcBorders>
              <w:top w:val="single" w:color="000000" w:sz="4" w:space="0"/>
              <w:left w:val="nil"/>
              <w:bottom w:val="single" w:color="000000" w:sz="4" w:space="0"/>
              <w:right w:val="single" w:color="000000" w:sz="4" w:space="0"/>
            </w:tcBorders>
          </w:tcPr>
          <w:p w14:paraId="3E660338">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r>
      <w:tr w14:paraId="15122AFB">
        <w:tblPrEx>
          <w:tblCellMar>
            <w:top w:w="88" w:type="dxa"/>
            <w:left w:w="106" w:type="dxa"/>
            <w:bottom w:w="0" w:type="dxa"/>
            <w:right w:w="110" w:type="dxa"/>
          </w:tblCellMar>
        </w:tblPrEx>
        <w:trPr>
          <w:trHeight w:val="2456" w:hRule="atLeast"/>
          <w:jc w:val="center"/>
        </w:trPr>
        <w:tc>
          <w:tcPr>
            <w:tcW w:w="4561" w:type="dxa"/>
            <w:gridSpan w:val="2"/>
            <w:tcBorders>
              <w:top w:val="single" w:color="000000" w:sz="4" w:space="0"/>
              <w:left w:val="single" w:color="000000" w:sz="4" w:space="0"/>
              <w:bottom w:val="single" w:color="000000" w:sz="4" w:space="0"/>
              <w:right w:val="nil"/>
            </w:tcBorders>
          </w:tcPr>
          <w:p w14:paraId="1D5D02C0">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演练存在的问题及整改措施： </w:t>
            </w:r>
          </w:p>
        </w:tc>
        <w:tc>
          <w:tcPr>
            <w:tcW w:w="4160" w:type="dxa"/>
            <w:gridSpan w:val="3"/>
            <w:tcBorders>
              <w:top w:val="single" w:color="000000" w:sz="4" w:space="0"/>
              <w:left w:val="nil"/>
              <w:bottom w:val="single" w:color="000000" w:sz="4" w:space="0"/>
              <w:right w:val="single" w:color="000000" w:sz="4" w:space="0"/>
            </w:tcBorders>
          </w:tcPr>
          <w:p w14:paraId="16E87437">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r>
      <w:tr w14:paraId="736E7B49">
        <w:tblPrEx>
          <w:tblCellMar>
            <w:top w:w="88" w:type="dxa"/>
            <w:left w:w="106" w:type="dxa"/>
            <w:bottom w:w="0" w:type="dxa"/>
            <w:right w:w="110" w:type="dxa"/>
          </w:tblCellMar>
        </w:tblPrEx>
        <w:trPr>
          <w:trHeight w:val="1350" w:hRule="atLeast"/>
          <w:jc w:val="center"/>
        </w:trPr>
        <w:tc>
          <w:tcPr>
            <w:tcW w:w="4561" w:type="dxa"/>
            <w:gridSpan w:val="2"/>
            <w:tcBorders>
              <w:top w:val="single" w:color="000000" w:sz="4" w:space="0"/>
              <w:left w:val="single" w:color="000000" w:sz="4" w:space="0"/>
              <w:bottom w:val="single" w:color="000000" w:sz="4" w:space="0"/>
              <w:right w:val="single" w:color="000000" w:sz="4" w:space="0"/>
            </w:tcBorders>
            <w:vAlign w:val="center"/>
          </w:tcPr>
          <w:p w14:paraId="6B571ACF">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单位主管领导签字： </w:t>
            </w:r>
          </w:p>
        </w:tc>
        <w:tc>
          <w:tcPr>
            <w:tcW w:w="4160" w:type="dxa"/>
            <w:gridSpan w:val="3"/>
            <w:tcBorders>
              <w:top w:val="single" w:color="000000" w:sz="4" w:space="0"/>
              <w:left w:val="single" w:color="000000" w:sz="4" w:space="0"/>
              <w:bottom w:val="single" w:color="000000" w:sz="4" w:space="0"/>
              <w:right w:val="single" w:color="000000" w:sz="4" w:space="0"/>
            </w:tcBorders>
            <w:vAlign w:val="center"/>
          </w:tcPr>
          <w:p w14:paraId="6691976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评价人签字： </w:t>
            </w:r>
          </w:p>
        </w:tc>
      </w:tr>
      <w:tr w14:paraId="74E7A378">
        <w:tblPrEx>
          <w:tblCellMar>
            <w:top w:w="88" w:type="dxa"/>
            <w:left w:w="106" w:type="dxa"/>
            <w:bottom w:w="0" w:type="dxa"/>
            <w:right w:w="110" w:type="dxa"/>
          </w:tblCellMar>
        </w:tblPrEx>
        <w:trPr>
          <w:trHeight w:val="1563" w:hRule="atLeast"/>
          <w:jc w:val="center"/>
        </w:trPr>
        <w:tc>
          <w:tcPr>
            <w:tcW w:w="4561" w:type="dxa"/>
            <w:gridSpan w:val="2"/>
            <w:tcBorders>
              <w:top w:val="single" w:color="000000" w:sz="4" w:space="0"/>
              <w:left w:val="single" w:color="000000" w:sz="4" w:space="0"/>
              <w:bottom w:val="single" w:color="000000" w:sz="4" w:space="0"/>
              <w:right w:val="single" w:color="000000" w:sz="4" w:space="0"/>
            </w:tcBorders>
            <w:vAlign w:val="center"/>
          </w:tcPr>
          <w:p w14:paraId="34BD9D33">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保存部门： </w:t>
            </w:r>
          </w:p>
        </w:tc>
        <w:tc>
          <w:tcPr>
            <w:tcW w:w="4160" w:type="dxa"/>
            <w:gridSpan w:val="3"/>
            <w:tcBorders>
              <w:top w:val="single" w:color="000000" w:sz="4" w:space="0"/>
              <w:left w:val="single" w:color="000000" w:sz="4" w:space="0"/>
              <w:bottom w:val="single" w:color="000000" w:sz="4" w:space="0"/>
              <w:right w:val="single" w:color="000000" w:sz="4" w:space="0"/>
            </w:tcBorders>
            <w:vAlign w:val="center"/>
          </w:tcPr>
          <w:p w14:paraId="6D9062E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保存期： </w:t>
            </w:r>
          </w:p>
        </w:tc>
      </w:tr>
    </w:tbl>
    <w:p w14:paraId="262509E9">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p>
    <w:p w14:paraId="22521664">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p>
    <w:p w14:paraId="49A47F45">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p>
    <w:p w14:paraId="3D301917">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D8D32AB">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 xml:space="preserve">应急演练总结报告 </w:t>
      </w:r>
    </w:p>
    <w:tbl>
      <w:tblPr>
        <w:tblStyle w:val="26"/>
        <w:tblW w:w="8723" w:type="dxa"/>
        <w:jc w:val="center"/>
        <w:tblLayout w:type="autofit"/>
        <w:tblCellMar>
          <w:top w:w="49" w:type="dxa"/>
          <w:left w:w="5" w:type="dxa"/>
          <w:bottom w:w="0" w:type="dxa"/>
          <w:right w:w="115" w:type="dxa"/>
        </w:tblCellMar>
      </w:tblPr>
      <w:tblGrid>
        <w:gridCol w:w="1716"/>
        <w:gridCol w:w="2643"/>
        <w:gridCol w:w="1109"/>
        <w:gridCol w:w="1426"/>
        <w:gridCol w:w="1829"/>
      </w:tblGrid>
      <w:tr w14:paraId="65EE957F">
        <w:tblPrEx>
          <w:tblCellMar>
            <w:top w:w="49" w:type="dxa"/>
            <w:left w:w="5" w:type="dxa"/>
            <w:bottom w:w="0" w:type="dxa"/>
            <w:right w:w="115" w:type="dxa"/>
          </w:tblCellMar>
        </w:tblPrEx>
        <w:trPr>
          <w:trHeight w:val="607"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1BE061FE">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编号：</w:t>
            </w:r>
          </w:p>
        </w:tc>
        <w:tc>
          <w:tcPr>
            <w:tcW w:w="4364" w:type="dxa"/>
            <w:gridSpan w:val="3"/>
            <w:tcBorders>
              <w:top w:val="single" w:color="000000" w:sz="4" w:space="0"/>
              <w:left w:val="nil"/>
              <w:bottom w:val="single" w:color="000000" w:sz="4" w:space="0"/>
              <w:right w:val="single" w:color="000000" w:sz="4" w:space="0"/>
            </w:tcBorders>
            <w:vAlign w:val="center"/>
          </w:tcPr>
          <w:p w14:paraId="3E49EF5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3C9960BE">
        <w:tblPrEx>
          <w:tblCellMar>
            <w:top w:w="49" w:type="dxa"/>
            <w:left w:w="5" w:type="dxa"/>
            <w:bottom w:w="0" w:type="dxa"/>
            <w:right w:w="115" w:type="dxa"/>
          </w:tblCellMar>
        </w:tblPrEx>
        <w:trPr>
          <w:trHeight w:val="607" w:hRule="atLeast"/>
          <w:jc w:val="center"/>
        </w:trPr>
        <w:tc>
          <w:tcPr>
            <w:tcW w:w="1716" w:type="dxa"/>
            <w:tcBorders>
              <w:top w:val="single" w:color="000000" w:sz="4" w:space="0"/>
              <w:left w:val="single" w:color="000000" w:sz="4" w:space="0"/>
              <w:bottom w:val="single" w:color="000000" w:sz="4" w:space="0"/>
              <w:right w:val="single" w:color="000000" w:sz="4" w:space="0"/>
            </w:tcBorders>
            <w:vAlign w:val="center"/>
          </w:tcPr>
          <w:p w14:paraId="55A046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演练时间</w:t>
            </w:r>
          </w:p>
        </w:tc>
        <w:tc>
          <w:tcPr>
            <w:tcW w:w="2643" w:type="dxa"/>
            <w:tcBorders>
              <w:top w:val="single" w:color="000000" w:sz="4" w:space="0"/>
              <w:left w:val="single" w:color="000000" w:sz="4" w:space="0"/>
              <w:bottom w:val="single" w:color="000000" w:sz="4" w:space="0"/>
              <w:right w:val="nil"/>
            </w:tcBorders>
            <w:vAlign w:val="center"/>
          </w:tcPr>
          <w:p w14:paraId="7C935ED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109" w:type="dxa"/>
            <w:tcBorders>
              <w:top w:val="single" w:color="000000" w:sz="4" w:space="0"/>
              <w:left w:val="nil"/>
              <w:bottom w:val="single" w:color="000000" w:sz="4" w:space="0"/>
              <w:right w:val="single" w:color="000000" w:sz="4" w:space="0"/>
            </w:tcBorders>
            <w:vAlign w:val="center"/>
          </w:tcPr>
          <w:p w14:paraId="2FC181A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426" w:type="dxa"/>
            <w:tcBorders>
              <w:top w:val="single" w:color="000000" w:sz="4" w:space="0"/>
              <w:left w:val="single" w:color="000000" w:sz="4" w:space="0"/>
              <w:bottom w:val="single" w:color="000000" w:sz="4" w:space="0"/>
              <w:right w:val="single" w:color="000000" w:sz="4" w:space="0"/>
            </w:tcBorders>
            <w:vAlign w:val="center"/>
          </w:tcPr>
          <w:p w14:paraId="4B67223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演练地点</w:t>
            </w:r>
          </w:p>
        </w:tc>
        <w:tc>
          <w:tcPr>
            <w:tcW w:w="1829" w:type="dxa"/>
            <w:tcBorders>
              <w:top w:val="single" w:color="000000" w:sz="4" w:space="0"/>
              <w:left w:val="single" w:color="000000" w:sz="4" w:space="0"/>
              <w:bottom w:val="single" w:color="000000" w:sz="4" w:space="0"/>
              <w:right w:val="single" w:color="000000" w:sz="4" w:space="0"/>
            </w:tcBorders>
            <w:vAlign w:val="center"/>
          </w:tcPr>
          <w:p w14:paraId="6EFBC05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61C2F123">
        <w:tblPrEx>
          <w:tblCellMar>
            <w:top w:w="49" w:type="dxa"/>
            <w:left w:w="5" w:type="dxa"/>
            <w:bottom w:w="0" w:type="dxa"/>
            <w:right w:w="115" w:type="dxa"/>
          </w:tblCellMar>
        </w:tblPrEx>
        <w:trPr>
          <w:trHeight w:val="607" w:hRule="atLeast"/>
          <w:jc w:val="center"/>
        </w:trPr>
        <w:tc>
          <w:tcPr>
            <w:tcW w:w="1716" w:type="dxa"/>
            <w:tcBorders>
              <w:top w:val="single" w:color="000000" w:sz="4" w:space="0"/>
              <w:left w:val="single" w:color="000000" w:sz="4" w:space="0"/>
              <w:bottom w:val="single" w:color="000000" w:sz="4" w:space="0"/>
              <w:right w:val="single" w:color="000000" w:sz="4" w:space="0"/>
            </w:tcBorders>
            <w:vAlign w:val="center"/>
          </w:tcPr>
          <w:p w14:paraId="65C7F18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演练名称</w:t>
            </w:r>
          </w:p>
        </w:tc>
        <w:tc>
          <w:tcPr>
            <w:tcW w:w="2643" w:type="dxa"/>
            <w:tcBorders>
              <w:top w:val="single" w:color="000000" w:sz="4" w:space="0"/>
              <w:left w:val="single" w:color="000000" w:sz="4" w:space="0"/>
              <w:bottom w:val="single" w:color="000000" w:sz="4" w:space="0"/>
              <w:right w:val="nil"/>
            </w:tcBorders>
            <w:vAlign w:val="center"/>
          </w:tcPr>
          <w:p w14:paraId="48A822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109" w:type="dxa"/>
            <w:tcBorders>
              <w:top w:val="single" w:color="000000" w:sz="4" w:space="0"/>
              <w:left w:val="nil"/>
              <w:bottom w:val="single" w:color="000000" w:sz="4" w:space="0"/>
              <w:right w:val="single" w:color="000000" w:sz="4" w:space="0"/>
            </w:tcBorders>
            <w:vAlign w:val="center"/>
          </w:tcPr>
          <w:p w14:paraId="11C3152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426" w:type="dxa"/>
            <w:tcBorders>
              <w:top w:val="single" w:color="000000" w:sz="4" w:space="0"/>
              <w:left w:val="single" w:color="000000" w:sz="4" w:space="0"/>
              <w:bottom w:val="single" w:color="000000" w:sz="4" w:space="0"/>
              <w:right w:val="single" w:color="000000" w:sz="4" w:space="0"/>
            </w:tcBorders>
            <w:vAlign w:val="center"/>
          </w:tcPr>
          <w:p w14:paraId="483DD12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指挥人</w:t>
            </w:r>
          </w:p>
        </w:tc>
        <w:tc>
          <w:tcPr>
            <w:tcW w:w="1829" w:type="dxa"/>
            <w:tcBorders>
              <w:top w:val="single" w:color="000000" w:sz="4" w:space="0"/>
              <w:left w:val="single" w:color="000000" w:sz="4" w:space="0"/>
              <w:bottom w:val="single" w:color="000000" w:sz="4" w:space="0"/>
              <w:right w:val="single" w:color="000000" w:sz="4" w:space="0"/>
            </w:tcBorders>
            <w:vAlign w:val="center"/>
          </w:tcPr>
          <w:p w14:paraId="456430B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7DF42CA2">
        <w:tblPrEx>
          <w:tblCellMar>
            <w:top w:w="49" w:type="dxa"/>
            <w:left w:w="5" w:type="dxa"/>
            <w:bottom w:w="0" w:type="dxa"/>
            <w:right w:w="115" w:type="dxa"/>
          </w:tblCellMar>
        </w:tblPrEx>
        <w:trPr>
          <w:trHeight w:val="1155" w:hRule="atLeast"/>
          <w:jc w:val="center"/>
        </w:trPr>
        <w:tc>
          <w:tcPr>
            <w:tcW w:w="4359" w:type="dxa"/>
            <w:gridSpan w:val="2"/>
            <w:tcBorders>
              <w:top w:val="single" w:color="000000" w:sz="4" w:space="0"/>
              <w:left w:val="single" w:color="000000" w:sz="4" w:space="0"/>
              <w:bottom w:val="single" w:color="000000" w:sz="4" w:space="0"/>
              <w:right w:val="nil"/>
            </w:tcBorders>
            <w:vAlign w:val="top"/>
          </w:tcPr>
          <w:p w14:paraId="4E8940EA">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参加人：</w:t>
            </w:r>
          </w:p>
        </w:tc>
        <w:tc>
          <w:tcPr>
            <w:tcW w:w="4364" w:type="dxa"/>
            <w:gridSpan w:val="3"/>
            <w:tcBorders>
              <w:top w:val="single" w:color="000000" w:sz="4" w:space="0"/>
              <w:left w:val="nil"/>
              <w:bottom w:val="single" w:color="000000" w:sz="4" w:space="0"/>
              <w:right w:val="single" w:color="000000" w:sz="4" w:space="0"/>
            </w:tcBorders>
            <w:vAlign w:val="center"/>
          </w:tcPr>
          <w:p w14:paraId="0879D26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2218CE38">
        <w:tblPrEx>
          <w:tblCellMar>
            <w:top w:w="49" w:type="dxa"/>
            <w:left w:w="5" w:type="dxa"/>
            <w:bottom w:w="0" w:type="dxa"/>
            <w:right w:w="115" w:type="dxa"/>
          </w:tblCellMar>
        </w:tblPrEx>
        <w:trPr>
          <w:trHeight w:val="90"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74E5DFD3">
            <w:pPr>
              <w:keepNext w:val="0"/>
              <w:keepLines w:val="0"/>
              <w:pageBreakBefore w:val="0"/>
              <w:widowControl w:val="0"/>
              <w:tabs>
                <w:tab w:val="center" w:pos="2506"/>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效果评价及完善意见：</w:t>
            </w:r>
          </w:p>
        </w:tc>
        <w:tc>
          <w:tcPr>
            <w:tcW w:w="4364" w:type="dxa"/>
            <w:gridSpan w:val="3"/>
            <w:tcBorders>
              <w:top w:val="single" w:color="000000" w:sz="4" w:space="0"/>
              <w:left w:val="nil"/>
              <w:bottom w:val="single" w:color="000000" w:sz="4" w:space="0"/>
              <w:right w:val="single" w:color="000000" w:sz="4" w:space="0"/>
            </w:tcBorders>
            <w:vAlign w:val="center"/>
          </w:tcPr>
          <w:p w14:paraId="1A518A8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672E2DC3">
        <w:tblPrEx>
          <w:tblCellMar>
            <w:top w:w="49" w:type="dxa"/>
            <w:left w:w="5" w:type="dxa"/>
            <w:bottom w:w="0" w:type="dxa"/>
            <w:right w:w="115" w:type="dxa"/>
          </w:tblCellMar>
        </w:tblPrEx>
        <w:trPr>
          <w:trHeight w:val="784"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3C3E54C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评价人签字：</w:t>
            </w:r>
          </w:p>
        </w:tc>
        <w:tc>
          <w:tcPr>
            <w:tcW w:w="4364" w:type="dxa"/>
            <w:gridSpan w:val="3"/>
            <w:tcBorders>
              <w:top w:val="single" w:color="000000" w:sz="4" w:space="0"/>
              <w:left w:val="nil"/>
              <w:bottom w:val="single" w:color="000000" w:sz="4" w:space="0"/>
              <w:right w:val="single" w:color="000000" w:sz="4" w:space="0"/>
            </w:tcBorders>
            <w:vAlign w:val="center"/>
          </w:tcPr>
          <w:p w14:paraId="249F2E7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553667D3">
        <w:tblPrEx>
          <w:tblCellMar>
            <w:top w:w="49" w:type="dxa"/>
            <w:left w:w="5" w:type="dxa"/>
            <w:bottom w:w="0" w:type="dxa"/>
            <w:right w:w="115" w:type="dxa"/>
          </w:tblCellMar>
        </w:tblPrEx>
        <w:trPr>
          <w:trHeight w:val="701" w:hRule="atLeast"/>
          <w:jc w:val="center"/>
        </w:trPr>
        <w:tc>
          <w:tcPr>
            <w:tcW w:w="4359" w:type="dxa"/>
            <w:gridSpan w:val="2"/>
            <w:tcBorders>
              <w:top w:val="single" w:color="000000" w:sz="4" w:space="0"/>
              <w:left w:val="single" w:color="000000" w:sz="4" w:space="0"/>
              <w:bottom w:val="single" w:color="000000" w:sz="4" w:space="0"/>
              <w:right w:val="single" w:color="000000" w:sz="4" w:space="0"/>
            </w:tcBorders>
            <w:vAlign w:val="center"/>
          </w:tcPr>
          <w:p w14:paraId="78BE01D1">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保存部门：</w:t>
            </w:r>
          </w:p>
        </w:tc>
        <w:tc>
          <w:tcPr>
            <w:tcW w:w="4364" w:type="dxa"/>
            <w:gridSpan w:val="3"/>
            <w:tcBorders>
              <w:top w:val="single" w:color="000000" w:sz="4" w:space="0"/>
              <w:left w:val="single" w:color="000000" w:sz="4" w:space="0"/>
              <w:bottom w:val="single" w:color="000000" w:sz="4" w:space="0"/>
              <w:right w:val="single" w:color="000000" w:sz="4" w:space="0"/>
            </w:tcBorders>
            <w:vAlign w:val="center"/>
          </w:tcPr>
          <w:p w14:paraId="56C83DA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保存期：</w:t>
            </w:r>
          </w:p>
        </w:tc>
      </w:tr>
    </w:tbl>
    <w:p w14:paraId="40055302">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0085F481">
      <w:pPr>
        <w:pStyle w:val="3"/>
        <w:bidi w:val="0"/>
        <w:rPr>
          <w:rFonts w:hint="default"/>
          <w:lang w:val="en-US" w:eastAsia="zh-CN"/>
        </w:rPr>
      </w:pPr>
      <w:bookmarkStart w:id="148" w:name="_Toc5892"/>
      <w:bookmarkStart w:id="149" w:name="_Toc28673"/>
      <w:r>
        <w:rPr>
          <w:rFonts w:hint="default"/>
          <w:lang w:val="en-US" w:eastAsia="zh-CN"/>
        </w:rPr>
        <w:t xml:space="preserve">附件 </w:t>
      </w:r>
      <w:r>
        <w:rPr>
          <w:rFonts w:hint="eastAsia"/>
          <w:lang w:val="en-US" w:eastAsia="zh-CN"/>
        </w:rPr>
        <w:t>4</w:t>
      </w:r>
      <w:r>
        <w:rPr>
          <w:rFonts w:hint="default"/>
          <w:lang w:val="en-US" w:eastAsia="zh-CN"/>
        </w:rPr>
        <w:t>：水质超标指标控制和处理技术推荐表</w:t>
      </w:r>
      <w:bookmarkEnd w:id="148"/>
      <w:bookmarkEnd w:id="149"/>
      <w:r>
        <w:rPr>
          <w:rFonts w:hint="default"/>
          <w:lang w:val="en-US" w:eastAsia="zh-CN"/>
        </w:rPr>
        <w:t xml:space="preserve"> </w:t>
      </w:r>
    </w:p>
    <w:tbl>
      <w:tblPr>
        <w:tblStyle w:val="26"/>
        <w:tblW w:w="8519" w:type="dxa"/>
        <w:tblInd w:w="-202" w:type="dxa"/>
        <w:tblLayout w:type="autofit"/>
        <w:tblCellMar>
          <w:top w:w="77" w:type="dxa"/>
          <w:left w:w="106" w:type="dxa"/>
          <w:bottom w:w="0" w:type="dxa"/>
          <w:right w:w="80" w:type="dxa"/>
        </w:tblCellMar>
      </w:tblPr>
      <w:tblGrid>
        <w:gridCol w:w="960"/>
        <w:gridCol w:w="2017"/>
        <w:gridCol w:w="5542"/>
      </w:tblGrid>
      <w:tr w14:paraId="0F664528">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6371418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rPr>
              <w:t>序号</w:t>
            </w:r>
          </w:p>
        </w:tc>
        <w:tc>
          <w:tcPr>
            <w:tcW w:w="2017" w:type="dxa"/>
            <w:tcBorders>
              <w:top w:val="single" w:color="000000" w:sz="4" w:space="0"/>
              <w:left w:val="single" w:color="000000" w:sz="4" w:space="0"/>
              <w:bottom w:val="single" w:color="000000" w:sz="4" w:space="0"/>
              <w:right w:val="single" w:color="000000" w:sz="4" w:space="0"/>
            </w:tcBorders>
            <w:vAlign w:val="center"/>
          </w:tcPr>
          <w:p w14:paraId="198ED04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rPr>
              <w:t>超标指标</w:t>
            </w:r>
          </w:p>
        </w:tc>
        <w:tc>
          <w:tcPr>
            <w:tcW w:w="5543" w:type="dxa"/>
            <w:tcBorders>
              <w:top w:val="single" w:color="000000" w:sz="4" w:space="0"/>
              <w:left w:val="single" w:color="000000" w:sz="4" w:space="0"/>
              <w:bottom w:val="single" w:color="000000" w:sz="4" w:space="0"/>
              <w:right w:val="single" w:color="000000" w:sz="4" w:space="0"/>
            </w:tcBorders>
            <w:vAlign w:val="center"/>
          </w:tcPr>
          <w:p w14:paraId="172FCD8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rPr>
              <w:t>控制和处理技术</w:t>
            </w:r>
          </w:p>
        </w:tc>
      </w:tr>
      <w:tr w14:paraId="31FDF0A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4191E2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w:t>
            </w:r>
          </w:p>
        </w:tc>
        <w:tc>
          <w:tcPr>
            <w:tcW w:w="2017" w:type="dxa"/>
            <w:tcBorders>
              <w:top w:val="single" w:color="000000" w:sz="4" w:space="0"/>
              <w:left w:val="single" w:color="000000" w:sz="4" w:space="0"/>
              <w:bottom w:val="single" w:color="000000" w:sz="4" w:space="0"/>
              <w:right w:val="single" w:color="000000" w:sz="4" w:space="0"/>
            </w:tcBorders>
            <w:vAlign w:val="center"/>
          </w:tcPr>
          <w:p w14:paraId="5CDA7CD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浊度</w:t>
            </w:r>
          </w:p>
        </w:tc>
        <w:tc>
          <w:tcPr>
            <w:tcW w:w="5543" w:type="dxa"/>
            <w:tcBorders>
              <w:top w:val="single" w:color="000000" w:sz="4" w:space="0"/>
              <w:left w:val="single" w:color="000000" w:sz="4" w:space="0"/>
              <w:bottom w:val="single" w:color="000000" w:sz="4" w:space="0"/>
              <w:right w:val="single" w:color="000000" w:sz="4" w:space="0"/>
            </w:tcBorders>
            <w:vAlign w:val="center"/>
          </w:tcPr>
          <w:p w14:paraId="1A8CA99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快速砂滤池、絮凝、沉淀、过滤</w:t>
            </w:r>
          </w:p>
        </w:tc>
      </w:tr>
      <w:tr w14:paraId="19B48BF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902344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2</w:t>
            </w:r>
          </w:p>
        </w:tc>
        <w:tc>
          <w:tcPr>
            <w:tcW w:w="2017" w:type="dxa"/>
            <w:tcBorders>
              <w:top w:val="single" w:color="000000" w:sz="4" w:space="0"/>
              <w:left w:val="single" w:color="000000" w:sz="4" w:space="0"/>
              <w:bottom w:val="single" w:color="000000" w:sz="4" w:space="0"/>
              <w:right w:val="single" w:color="000000" w:sz="4" w:space="0"/>
            </w:tcBorders>
            <w:vAlign w:val="center"/>
          </w:tcPr>
          <w:p w14:paraId="26700BA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色度</w:t>
            </w:r>
          </w:p>
        </w:tc>
        <w:tc>
          <w:tcPr>
            <w:tcW w:w="5543" w:type="dxa"/>
            <w:tcBorders>
              <w:top w:val="single" w:color="000000" w:sz="4" w:space="0"/>
              <w:left w:val="single" w:color="000000" w:sz="4" w:space="0"/>
              <w:bottom w:val="single" w:color="000000" w:sz="4" w:space="0"/>
              <w:right w:val="single" w:color="000000" w:sz="4" w:space="0"/>
            </w:tcBorders>
            <w:vAlign w:val="center"/>
          </w:tcPr>
          <w:p w14:paraId="12F4232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快速砂滤池、絮凝；活性炭吸附；化学氧化预处理：臭氧、氯、高锰酸钾、二氧化氯</w:t>
            </w:r>
          </w:p>
        </w:tc>
      </w:tr>
      <w:tr w14:paraId="57493D1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0F54EF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3</w:t>
            </w:r>
          </w:p>
        </w:tc>
        <w:tc>
          <w:tcPr>
            <w:tcW w:w="2017" w:type="dxa"/>
            <w:tcBorders>
              <w:top w:val="single" w:color="000000" w:sz="4" w:space="0"/>
              <w:left w:val="single" w:color="000000" w:sz="4" w:space="0"/>
              <w:bottom w:val="single" w:color="000000" w:sz="4" w:space="0"/>
              <w:right w:val="single" w:color="000000" w:sz="4" w:space="0"/>
            </w:tcBorders>
            <w:vAlign w:val="center"/>
          </w:tcPr>
          <w:p w14:paraId="7C49DC4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嗅味</w:t>
            </w:r>
          </w:p>
        </w:tc>
        <w:tc>
          <w:tcPr>
            <w:tcW w:w="5543" w:type="dxa"/>
            <w:tcBorders>
              <w:top w:val="single" w:color="000000" w:sz="4" w:space="0"/>
              <w:left w:val="single" w:color="000000" w:sz="4" w:space="0"/>
              <w:bottom w:val="single" w:color="000000" w:sz="4" w:space="0"/>
              <w:right w:val="single" w:color="000000" w:sz="4" w:space="0"/>
            </w:tcBorders>
            <w:vAlign w:val="center"/>
          </w:tcPr>
          <w:p w14:paraId="46EC47B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化学氧化预处理：臭氧、氯、高锰酸钾、二氧化氯、活性炭</w:t>
            </w:r>
          </w:p>
        </w:tc>
      </w:tr>
      <w:tr w14:paraId="012EE3C5">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0B87D04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4</w:t>
            </w:r>
          </w:p>
        </w:tc>
        <w:tc>
          <w:tcPr>
            <w:tcW w:w="2017" w:type="dxa"/>
            <w:tcBorders>
              <w:top w:val="single" w:color="000000" w:sz="4" w:space="0"/>
              <w:left w:val="single" w:color="000000" w:sz="4" w:space="0"/>
              <w:bottom w:val="single" w:color="000000" w:sz="4" w:space="0"/>
              <w:right w:val="single" w:color="000000" w:sz="4" w:space="0"/>
            </w:tcBorders>
            <w:vAlign w:val="center"/>
          </w:tcPr>
          <w:p w14:paraId="61BFFCF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氟化物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114CC8B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吸附法：氧化铝、磷酸二钙；混凝沉淀法：硫酸铝、聚合氯化铝；离子交换法；电渗析法</w:t>
            </w:r>
          </w:p>
        </w:tc>
      </w:tr>
      <w:tr w14:paraId="3D8EEE2F">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66FD1D6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5</w:t>
            </w:r>
          </w:p>
        </w:tc>
        <w:tc>
          <w:tcPr>
            <w:tcW w:w="2017" w:type="dxa"/>
            <w:tcBorders>
              <w:top w:val="single" w:color="000000" w:sz="4" w:space="0"/>
              <w:left w:val="single" w:color="000000" w:sz="4" w:space="0"/>
              <w:bottom w:val="single" w:color="000000" w:sz="4" w:space="0"/>
              <w:right w:val="single" w:color="000000" w:sz="4" w:space="0"/>
            </w:tcBorders>
            <w:vAlign w:val="center"/>
          </w:tcPr>
          <w:p w14:paraId="716D091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氨氮</w:t>
            </w:r>
          </w:p>
        </w:tc>
        <w:tc>
          <w:tcPr>
            <w:tcW w:w="5543" w:type="dxa"/>
            <w:tcBorders>
              <w:top w:val="single" w:color="000000" w:sz="4" w:space="0"/>
              <w:left w:val="single" w:color="000000" w:sz="4" w:space="0"/>
              <w:bottom w:val="single" w:color="000000" w:sz="4" w:space="0"/>
              <w:right w:val="single" w:color="000000" w:sz="4" w:space="0"/>
            </w:tcBorders>
            <w:vAlign w:val="center"/>
          </w:tcPr>
          <w:p w14:paraId="63A6D27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化学氧化预处理：氯、高锰酸钾；深度处理：臭氧生物活性炭</w:t>
            </w:r>
          </w:p>
        </w:tc>
      </w:tr>
      <w:tr w14:paraId="21300A4D">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8F0FAB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6</w:t>
            </w:r>
          </w:p>
        </w:tc>
        <w:tc>
          <w:tcPr>
            <w:tcW w:w="2017" w:type="dxa"/>
            <w:tcBorders>
              <w:top w:val="single" w:color="000000" w:sz="4" w:space="0"/>
              <w:left w:val="single" w:color="000000" w:sz="4" w:space="0"/>
              <w:bottom w:val="single" w:color="000000" w:sz="4" w:space="0"/>
              <w:right w:val="single" w:color="000000" w:sz="4" w:space="0"/>
            </w:tcBorders>
            <w:vAlign w:val="center"/>
          </w:tcPr>
          <w:p w14:paraId="08F013A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铁、锰</w:t>
            </w:r>
          </w:p>
        </w:tc>
        <w:tc>
          <w:tcPr>
            <w:tcW w:w="5543" w:type="dxa"/>
            <w:tcBorders>
              <w:top w:val="single" w:color="000000" w:sz="4" w:space="0"/>
              <w:left w:val="single" w:color="000000" w:sz="4" w:space="0"/>
              <w:bottom w:val="single" w:color="000000" w:sz="4" w:space="0"/>
              <w:right w:val="single" w:color="000000" w:sz="4" w:space="0"/>
            </w:tcBorders>
            <w:vAlign w:val="center"/>
          </w:tcPr>
          <w:p w14:paraId="066CDD0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锰砂；化学氧化预处理：氯、高锰酸钾；深度处理：臭氧-生物活性炭</w:t>
            </w:r>
          </w:p>
        </w:tc>
      </w:tr>
      <w:tr w14:paraId="56C5277B">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1B56FA8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p>
        </w:tc>
        <w:tc>
          <w:tcPr>
            <w:tcW w:w="2017" w:type="dxa"/>
            <w:tcBorders>
              <w:top w:val="single" w:color="000000" w:sz="4" w:space="0"/>
              <w:left w:val="single" w:color="000000" w:sz="4" w:space="0"/>
              <w:bottom w:val="single" w:color="000000" w:sz="4" w:space="0"/>
              <w:right w:val="single" w:color="000000" w:sz="4" w:space="0"/>
            </w:tcBorders>
            <w:vAlign w:val="center"/>
          </w:tcPr>
          <w:p w14:paraId="4DB44D8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挥发性有机物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350E6D6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生物活性炭吸附</w:t>
            </w:r>
          </w:p>
        </w:tc>
      </w:tr>
      <w:tr w14:paraId="54608213">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4E4E013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8</w:t>
            </w:r>
          </w:p>
        </w:tc>
        <w:tc>
          <w:tcPr>
            <w:tcW w:w="2017" w:type="dxa"/>
            <w:tcBorders>
              <w:top w:val="single" w:color="000000" w:sz="4" w:space="0"/>
              <w:left w:val="single" w:color="000000" w:sz="4" w:space="0"/>
              <w:bottom w:val="single" w:color="000000" w:sz="4" w:space="0"/>
              <w:right w:val="single" w:color="000000" w:sz="4" w:space="0"/>
            </w:tcBorders>
            <w:vAlign w:val="center"/>
          </w:tcPr>
          <w:p w14:paraId="19D6BA6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三氯甲烷和腐殖酸</w:t>
            </w:r>
          </w:p>
        </w:tc>
        <w:tc>
          <w:tcPr>
            <w:tcW w:w="5543" w:type="dxa"/>
            <w:tcBorders>
              <w:top w:val="single" w:color="000000" w:sz="4" w:space="0"/>
              <w:left w:val="single" w:color="000000" w:sz="4" w:space="0"/>
              <w:bottom w:val="single" w:color="000000" w:sz="4" w:space="0"/>
              <w:right w:val="single" w:color="000000" w:sz="4" w:space="0"/>
            </w:tcBorders>
            <w:vAlign w:val="center"/>
          </w:tcPr>
          <w:p w14:paraId="47C334B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前驱物的去除：强化混凝、粒状活性炭、生物活性炭；氯化副产物的去除：粒状活性炭</w:t>
            </w:r>
          </w:p>
        </w:tc>
      </w:tr>
      <w:tr w14:paraId="2DFA6775">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2A6AD77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9</w:t>
            </w:r>
          </w:p>
        </w:tc>
        <w:tc>
          <w:tcPr>
            <w:tcW w:w="2017" w:type="dxa"/>
            <w:tcBorders>
              <w:top w:val="single" w:color="000000" w:sz="4" w:space="0"/>
              <w:left w:val="single" w:color="000000" w:sz="4" w:space="0"/>
              <w:bottom w:val="single" w:color="000000" w:sz="4" w:space="0"/>
              <w:right w:val="single" w:color="000000" w:sz="4" w:space="0"/>
            </w:tcBorders>
            <w:vAlign w:val="center"/>
          </w:tcPr>
          <w:p w14:paraId="4B060DD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有机化合物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308297F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生物活性炭、膜处理</w:t>
            </w:r>
          </w:p>
        </w:tc>
      </w:tr>
      <w:tr w14:paraId="158BB6E6">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2A73592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10</w:t>
            </w:r>
          </w:p>
        </w:tc>
        <w:tc>
          <w:tcPr>
            <w:tcW w:w="2017" w:type="dxa"/>
            <w:tcBorders>
              <w:top w:val="single" w:color="000000" w:sz="4" w:space="0"/>
              <w:left w:val="single" w:color="000000" w:sz="4" w:space="0"/>
              <w:bottom w:val="single" w:color="000000" w:sz="4" w:space="0"/>
              <w:right w:val="single" w:color="000000" w:sz="4" w:space="0"/>
            </w:tcBorders>
            <w:vAlign w:val="center"/>
          </w:tcPr>
          <w:p w14:paraId="717076A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细菌和病毒</w:t>
            </w:r>
          </w:p>
        </w:tc>
        <w:tc>
          <w:tcPr>
            <w:tcW w:w="5543" w:type="dxa"/>
            <w:tcBorders>
              <w:top w:val="single" w:color="000000" w:sz="4" w:space="0"/>
              <w:left w:val="single" w:color="000000" w:sz="4" w:space="0"/>
              <w:bottom w:val="single" w:color="000000" w:sz="4" w:space="0"/>
              <w:right w:val="single" w:color="000000" w:sz="4" w:space="0"/>
            </w:tcBorders>
            <w:vAlign w:val="center"/>
          </w:tcPr>
          <w:p w14:paraId="38726F9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过滤（部分去除）；消毒处理：氯、二氧化氯、臭氧、膜处理、紫外消毒</w:t>
            </w:r>
          </w:p>
        </w:tc>
      </w:tr>
      <w:tr w14:paraId="45408D06">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4DDADC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11</w:t>
            </w:r>
          </w:p>
        </w:tc>
        <w:tc>
          <w:tcPr>
            <w:tcW w:w="2017" w:type="dxa"/>
            <w:tcBorders>
              <w:top w:val="single" w:color="000000" w:sz="4" w:space="0"/>
              <w:left w:val="single" w:color="000000" w:sz="4" w:space="0"/>
              <w:bottom w:val="single" w:color="000000" w:sz="4" w:space="0"/>
              <w:right w:val="single" w:color="000000" w:sz="4" w:space="0"/>
            </w:tcBorders>
            <w:vAlign w:val="center"/>
          </w:tcPr>
          <w:p w14:paraId="563A032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汞、铬等部分重金属（应急状态）</w:t>
            </w:r>
          </w:p>
        </w:tc>
        <w:tc>
          <w:tcPr>
            <w:tcW w:w="5543" w:type="dxa"/>
            <w:tcBorders>
              <w:top w:val="single" w:color="000000" w:sz="4" w:space="0"/>
              <w:left w:val="single" w:color="000000" w:sz="4" w:space="0"/>
              <w:bottom w:val="single" w:color="000000" w:sz="4" w:space="0"/>
              <w:right w:val="single" w:color="000000" w:sz="4" w:space="0"/>
            </w:tcBorders>
            <w:vAlign w:val="center"/>
          </w:tcPr>
          <w:p w14:paraId="207BA4A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氧化法：高锰酸钾；生物活性炭吸附（部分去除）</w:t>
            </w:r>
          </w:p>
        </w:tc>
      </w:tr>
      <w:tr w14:paraId="23332AF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4013642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12</w:t>
            </w:r>
          </w:p>
        </w:tc>
        <w:tc>
          <w:tcPr>
            <w:tcW w:w="2017" w:type="dxa"/>
            <w:tcBorders>
              <w:top w:val="single" w:color="000000" w:sz="4" w:space="0"/>
              <w:left w:val="single" w:color="000000" w:sz="4" w:space="0"/>
              <w:bottom w:val="single" w:color="000000" w:sz="4" w:space="0"/>
              <w:right w:val="single" w:color="000000" w:sz="4" w:space="0"/>
            </w:tcBorders>
            <w:vAlign w:val="center"/>
          </w:tcPr>
          <w:p w14:paraId="0BA73A1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藻类及藻毒素</w:t>
            </w:r>
          </w:p>
        </w:tc>
        <w:tc>
          <w:tcPr>
            <w:tcW w:w="5543" w:type="dxa"/>
            <w:tcBorders>
              <w:top w:val="single" w:color="000000" w:sz="4" w:space="0"/>
              <w:left w:val="single" w:color="000000" w:sz="4" w:space="0"/>
              <w:bottom w:val="single" w:color="000000" w:sz="4" w:space="0"/>
              <w:right w:val="single" w:color="000000" w:sz="4" w:space="0"/>
            </w:tcBorders>
            <w:vAlign w:val="center"/>
          </w:tcPr>
          <w:p w14:paraId="2D0BAC4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化学氧化预处理：除藻剂法、高锰酸钾、氯；微滤法；气浮法；臭氧氧化法</w:t>
            </w:r>
          </w:p>
        </w:tc>
      </w:tr>
    </w:tbl>
    <w:p w14:paraId="2572D314">
      <w:pPr>
        <w:keepNext w:val="0"/>
        <w:keepLines w:val="0"/>
        <w:pageBreakBefore w:val="0"/>
        <w:widowControl w:val="0"/>
        <w:kinsoku/>
        <w:overflowPunct/>
        <w:topLinePunct w:val="0"/>
        <w:bidi w:val="0"/>
        <w:spacing w:after="0" w:line="360" w:lineRule="auto"/>
        <w:ind w:left="-1688" w:right="645" w:firstLine="0"/>
        <w:rPr>
          <w:rFonts w:hint="default" w:ascii="Times New Roman" w:hAnsi="Times New Roman" w:eastAsia="仿宋" w:cs="Times New Roman"/>
          <w:sz w:val="28"/>
          <w:szCs w:val="28"/>
        </w:rPr>
      </w:pPr>
    </w:p>
    <w:p w14:paraId="40E132AD">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51EEF2C">
      <w:pPr>
        <w:pStyle w:val="3"/>
        <w:bidi w:val="0"/>
        <w:rPr>
          <w:rFonts w:hint="default"/>
          <w:lang w:val="en-US" w:eastAsia="zh-CN"/>
        </w:rPr>
      </w:pPr>
      <w:bookmarkStart w:id="150" w:name="_Toc11272"/>
      <w:bookmarkStart w:id="151" w:name="_Toc270"/>
      <w:bookmarkStart w:id="152" w:name="_Toc16088"/>
      <w:r>
        <w:rPr>
          <w:rFonts w:hint="default"/>
          <w:lang w:val="en-US" w:eastAsia="zh-CN"/>
        </w:rPr>
        <w:t xml:space="preserve">附件 </w:t>
      </w:r>
      <w:r>
        <w:rPr>
          <w:rFonts w:hint="eastAsia"/>
          <w:lang w:val="en-US" w:eastAsia="zh-CN"/>
        </w:rPr>
        <w:t>5</w:t>
      </w:r>
      <w:r>
        <w:rPr>
          <w:rFonts w:hint="default"/>
          <w:lang w:val="en-US" w:eastAsia="zh-CN"/>
        </w:rPr>
        <w:t>：常见化学品引发水污染事故的简要处置方法</w:t>
      </w:r>
      <w:bookmarkEnd w:id="150"/>
      <w:bookmarkEnd w:id="151"/>
      <w:r>
        <w:rPr>
          <w:rFonts w:hint="default"/>
          <w:lang w:val="en-US" w:eastAsia="zh-CN"/>
        </w:rPr>
        <w:t xml:space="preserve"> </w:t>
      </w:r>
    </w:p>
    <w:tbl>
      <w:tblPr>
        <w:tblStyle w:val="26"/>
        <w:tblW w:w="14578" w:type="dxa"/>
        <w:jc w:val="center"/>
        <w:tblLayout w:type="autofit"/>
        <w:tblCellMar>
          <w:top w:w="77" w:type="dxa"/>
          <w:left w:w="0" w:type="dxa"/>
          <w:bottom w:w="0" w:type="dxa"/>
          <w:right w:w="0" w:type="dxa"/>
        </w:tblCellMar>
      </w:tblPr>
      <w:tblGrid>
        <w:gridCol w:w="615"/>
        <w:gridCol w:w="756"/>
        <w:gridCol w:w="2441"/>
        <w:gridCol w:w="5271"/>
        <w:gridCol w:w="5495"/>
      </w:tblGrid>
      <w:tr w14:paraId="2E8904D8">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073ADCA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序号</w:t>
            </w:r>
          </w:p>
        </w:tc>
        <w:tc>
          <w:tcPr>
            <w:tcW w:w="756" w:type="dxa"/>
            <w:tcBorders>
              <w:top w:val="single" w:color="000000" w:sz="4" w:space="0"/>
              <w:left w:val="single" w:color="000000" w:sz="4" w:space="0"/>
              <w:bottom w:val="single" w:color="000000" w:sz="4" w:space="0"/>
              <w:right w:val="single" w:color="000000" w:sz="4" w:space="0"/>
            </w:tcBorders>
            <w:vAlign w:val="center"/>
          </w:tcPr>
          <w:p w14:paraId="049F74A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污染物类别</w:t>
            </w:r>
          </w:p>
        </w:tc>
        <w:tc>
          <w:tcPr>
            <w:tcW w:w="2441" w:type="dxa"/>
            <w:tcBorders>
              <w:top w:val="single" w:color="000000" w:sz="4" w:space="0"/>
              <w:left w:val="single" w:color="000000" w:sz="4" w:space="0"/>
              <w:bottom w:val="single" w:color="000000" w:sz="4" w:space="0"/>
              <w:right w:val="single" w:color="000000" w:sz="4" w:space="0"/>
            </w:tcBorders>
            <w:vAlign w:val="center"/>
          </w:tcPr>
          <w:p w14:paraId="20CE67A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代表物质</w:t>
            </w:r>
          </w:p>
        </w:tc>
        <w:tc>
          <w:tcPr>
            <w:tcW w:w="5271" w:type="dxa"/>
            <w:tcBorders>
              <w:top w:val="single" w:color="000000" w:sz="4" w:space="0"/>
              <w:left w:val="single" w:color="000000" w:sz="4" w:space="0"/>
              <w:bottom w:val="single" w:color="000000" w:sz="4" w:space="0"/>
              <w:right w:val="single" w:color="000000" w:sz="4" w:space="0"/>
            </w:tcBorders>
            <w:vAlign w:val="center"/>
          </w:tcPr>
          <w:p w14:paraId="0893D64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物质特性</w:t>
            </w:r>
          </w:p>
        </w:tc>
        <w:tc>
          <w:tcPr>
            <w:tcW w:w="5495" w:type="dxa"/>
            <w:tcBorders>
              <w:top w:val="single" w:color="000000" w:sz="4" w:space="0"/>
              <w:left w:val="single" w:color="000000" w:sz="4" w:space="0"/>
              <w:bottom w:val="single" w:color="000000" w:sz="4" w:space="0"/>
              <w:right w:val="single" w:color="000000" w:sz="4" w:space="0"/>
            </w:tcBorders>
            <w:vAlign w:val="center"/>
          </w:tcPr>
          <w:p w14:paraId="381359D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应急处置</w:t>
            </w:r>
          </w:p>
        </w:tc>
      </w:tr>
      <w:tr w14:paraId="0FE47030">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55CD2C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w:t>
            </w:r>
          </w:p>
        </w:tc>
        <w:tc>
          <w:tcPr>
            <w:tcW w:w="756" w:type="dxa"/>
            <w:tcBorders>
              <w:top w:val="single" w:color="000000" w:sz="4" w:space="0"/>
              <w:left w:val="single" w:color="000000" w:sz="4" w:space="0"/>
              <w:bottom w:val="single" w:color="000000" w:sz="4" w:space="0"/>
              <w:right w:val="single" w:color="000000" w:sz="4" w:space="0"/>
            </w:tcBorders>
            <w:vAlign w:val="center"/>
          </w:tcPr>
          <w:p w14:paraId="0567895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重金属类</w:t>
            </w:r>
          </w:p>
        </w:tc>
        <w:tc>
          <w:tcPr>
            <w:tcW w:w="2441" w:type="dxa"/>
            <w:tcBorders>
              <w:top w:val="single" w:color="000000" w:sz="4" w:space="0"/>
              <w:left w:val="single" w:color="000000" w:sz="4" w:space="0"/>
              <w:bottom w:val="single" w:color="000000" w:sz="4" w:space="0"/>
              <w:right w:val="single" w:color="000000" w:sz="4" w:space="0"/>
            </w:tcBorders>
            <w:vAlign w:val="center"/>
          </w:tcPr>
          <w:p w14:paraId="4F751D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汞及汞盐、铅盐、锡盐类、铬盐等。</w:t>
            </w:r>
          </w:p>
        </w:tc>
        <w:tc>
          <w:tcPr>
            <w:tcW w:w="5271" w:type="dxa"/>
            <w:tcBorders>
              <w:top w:val="single" w:color="000000" w:sz="4" w:space="0"/>
              <w:left w:val="single" w:color="000000" w:sz="4" w:space="0"/>
              <w:bottom w:val="single" w:color="000000" w:sz="4" w:space="0"/>
              <w:right w:val="single" w:color="000000" w:sz="4" w:space="0"/>
            </w:tcBorders>
            <w:vAlign w:val="center"/>
          </w:tcPr>
          <w:p w14:paraId="54ACCDA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汞为液体金属，其余均为结晶盐类，铬盐和铅往往有鲜亮的颜色。该类物质多数具有较强毒性，在自然环境中不降解，并能随食物链逐渐富集，形成急性或蓄积类水污染事故。</w:t>
            </w:r>
          </w:p>
        </w:tc>
        <w:tc>
          <w:tcPr>
            <w:tcW w:w="5495" w:type="dxa"/>
            <w:tcBorders>
              <w:top w:val="single" w:color="000000" w:sz="4" w:space="0"/>
              <w:left w:val="single" w:color="000000" w:sz="4" w:space="0"/>
              <w:bottom w:val="single" w:color="000000" w:sz="4" w:space="0"/>
              <w:right w:val="single" w:color="000000" w:sz="4" w:space="0"/>
            </w:tcBorders>
            <w:vAlign w:val="center"/>
          </w:tcPr>
          <w:p w14:paraId="57834A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闭闸门或筑坝围隔污染区，在污染区投加生石灰沉淀重金属离子，排干上清液后将底质移除到安全地方水泥固化后填埋。汞泄漏后应急人员应佩戴防护用具，尽量将泄漏汞收集到安全地方处理，无法收集的现场用硫磺粉覆盖处理。</w:t>
            </w:r>
          </w:p>
        </w:tc>
      </w:tr>
      <w:tr w14:paraId="60A2F958">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4AA2F58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w:t>
            </w:r>
          </w:p>
        </w:tc>
        <w:tc>
          <w:tcPr>
            <w:tcW w:w="756" w:type="dxa"/>
            <w:tcBorders>
              <w:top w:val="single" w:color="000000" w:sz="4" w:space="0"/>
              <w:left w:val="single" w:color="000000" w:sz="4" w:space="0"/>
              <w:bottom w:val="single" w:color="000000" w:sz="4" w:space="0"/>
              <w:right w:val="single" w:color="000000" w:sz="4" w:space="0"/>
            </w:tcBorders>
            <w:vAlign w:val="center"/>
          </w:tcPr>
          <w:p w14:paraId="4C151D1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氰化物</w:t>
            </w:r>
          </w:p>
        </w:tc>
        <w:tc>
          <w:tcPr>
            <w:tcW w:w="2441" w:type="dxa"/>
            <w:tcBorders>
              <w:top w:val="single" w:color="000000" w:sz="4" w:space="0"/>
              <w:left w:val="single" w:color="000000" w:sz="4" w:space="0"/>
              <w:bottom w:val="single" w:color="000000" w:sz="4" w:space="0"/>
              <w:right w:val="single" w:color="000000" w:sz="4" w:space="0"/>
            </w:tcBorders>
            <w:vAlign w:val="center"/>
          </w:tcPr>
          <w:p w14:paraId="402956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氰化钾、氰化钠和氰化氢的水溶液。</w:t>
            </w:r>
          </w:p>
        </w:tc>
        <w:tc>
          <w:tcPr>
            <w:tcW w:w="5271" w:type="dxa"/>
            <w:tcBorders>
              <w:top w:val="single" w:color="000000" w:sz="4" w:space="0"/>
              <w:left w:val="single" w:color="000000" w:sz="4" w:space="0"/>
              <w:bottom w:val="single" w:color="000000" w:sz="4" w:space="0"/>
              <w:right w:val="single" w:color="000000" w:sz="4" w:space="0"/>
            </w:tcBorders>
            <w:vAlign w:val="center"/>
          </w:tcPr>
          <w:p w14:paraId="6D89336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5495" w:type="dxa"/>
            <w:tcBorders>
              <w:top w:val="single" w:color="000000" w:sz="4" w:space="0"/>
              <w:left w:val="single" w:color="000000" w:sz="4" w:space="0"/>
              <w:bottom w:val="single" w:color="000000" w:sz="4" w:space="0"/>
              <w:right w:val="single" w:color="000000" w:sz="4" w:space="0"/>
            </w:tcBorders>
            <w:vAlign w:val="center"/>
          </w:tcPr>
          <w:p w14:paraId="07B8D56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应急处置人员须佩带全身防护用具，尽可能围隔污染区，在污染区加过量漂白粉处置，一般 24 小时可氧化完全。</w:t>
            </w:r>
          </w:p>
        </w:tc>
      </w:tr>
      <w:tr w14:paraId="0BDE571B">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4FF970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w:t>
            </w:r>
          </w:p>
        </w:tc>
        <w:tc>
          <w:tcPr>
            <w:tcW w:w="756" w:type="dxa"/>
            <w:tcBorders>
              <w:top w:val="single" w:color="000000" w:sz="4" w:space="0"/>
              <w:left w:val="single" w:color="000000" w:sz="4" w:space="0"/>
              <w:bottom w:val="single" w:color="000000" w:sz="4" w:space="0"/>
              <w:right w:val="single" w:color="000000" w:sz="4" w:space="0"/>
            </w:tcBorders>
            <w:vAlign w:val="center"/>
          </w:tcPr>
          <w:p w14:paraId="5DC0410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氟化物</w:t>
            </w:r>
          </w:p>
        </w:tc>
        <w:tc>
          <w:tcPr>
            <w:tcW w:w="2441" w:type="dxa"/>
            <w:tcBorders>
              <w:top w:val="single" w:color="000000" w:sz="4" w:space="0"/>
              <w:left w:val="single" w:color="000000" w:sz="4" w:space="0"/>
              <w:bottom w:val="single" w:color="000000" w:sz="4" w:space="0"/>
              <w:right w:val="single" w:color="000000" w:sz="4" w:space="0"/>
            </w:tcBorders>
            <w:vAlign w:val="center"/>
          </w:tcPr>
          <w:p w14:paraId="7632703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氟化钠、氢氟酸等。</w:t>
            </w:r>
          </w:p>
        </w:tc>
        <w:tc>
          <w:tcPr>
            <w:tcW w:w="5271" w:type="dxa"/>
            <w:tcBorders>
              <w:top w:val="single" w:color="000000" w:sz="4" w:space="0"/>
              <w:left w:val="single" w:color="000000" w:sz="4" w:space="0"/>
              <w:bottom w:val="single" w:color="000000" w:sz="4" w:space="0"/>
              <w:right w:val="single" w:color="000000" w:sz="4" w:space="0"/>
            </w:tcBorders>
            <w:vAlign w:val="center"/>
          </w:tcPr>
          <w:p w14:paraId="7A6E6B0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氟化钠为白色粉末，无味。氢氟酸为无色有刺激臭味的液体。该类物质易溶于水，高毒，并且容易在酸性环境中挥发氟化氢气体毒害呼吸系统。在自然环境中容易和金属离子形成络合物而降低毒性</w:t>
            </w:r>
          </w:p>
        </w:tc>
        <w:tc>
          <w:tcPr>
            <w:tcW w:w="5495" w:type="dxa"/>
            <w:tcBorders>
              <w:top w:val="single" w:color="000000" w:sz="4" w:space="0"/>
              <w:left w:val="single" w:color="000000" w:sz="4" w:space="0"/>
              <w:bottom w:val="single" w:color="000000" w:sz="4" w:space="0"/>
              <w:right w:val="single" w:color="000000" w:sz="4" w:space="0"/>
            </w:tcBorders>
            <w:vAlign w:val="center"/>
          </w:tcPr>
          <w:p w14:paraId="16CF69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关闭闸门或筑坝围隔污染区，应急处置人员须带全身防护用具。在污染水体中加人过量生石灰沉淀氟离子，并投加明矾加快沉淀速度。沉淀完全后将上清液排放，铲除底质，并转移到安全地方处置。</w:t>
            </w:r>
          </w:p>
        </w:tc>
      </w:tr>
      <w:tr w14:paraId="4F14164C">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C66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4</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1F3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金属酸酐</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316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砒霜（三氧化二砷）和铬酸酐（三氧化铬）。</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7F0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砒霜为无色无味白色粉末，微溶于水。铬酸矸为紫红色斜方晶体，易潮解。两种物质均在水中有一定的溶解度，呈现高毒性，可毒害呼吸系统、神经系统和循环系统，并能在动物体内可以富集，造成二次中毒。</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3BF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关闭闸门或筑坝围隔污染区，投放石灰和明矾沉淀，沉淀完全后将上清液转移到安全地方，用草酸钠还原后排放。清除底泥中的沉淀物，用水泥固化后深埋。</w:t>
            </w:r>
          </w:p>
        </w:tc>
      </w:tr>
      <w:tr w14:paraId="6F274B65">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738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68E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苯类化合物</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E2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苯、甲苯、乙苯、二甲苯、苯乙烯、硝基苯等。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180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油状液体，有特殊芳香味，易挥发，除取代苯外，密度一般小于水。该类物质是神经和循环系统毒剂，对人体有致癌作用，不溶或微溶于水，扩散速度快。</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C74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应急处置人员应戴全身防护用具，筑坝或用围油栏围隔污染区，注意防火。污染区用吸油绵等高吸油材料现场吸附，转移到安全地方焚烧处理。污染水体最终用活性炭吸附处理。</w:t>
            </w:r>
          </w:p>
        </w:tc>
      </w:tr>
      <w:tr w14:paraId="58DF7157">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55C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AC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卤代烃</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A9B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乙烯、四氯化碳、三氯甲烷、氯苯。</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358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均为油状液体，易挥发，不溶于水，密度一般大于水，燃烧时有刺激性气体放出。该类物质遇水稳定，对眼睛、皮肤、呼吸道等有刺激作用，对人体有致癌作用。多元取代物密度往往大于水，沉于水底造成持久危害</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A0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应急人员应佩带全身防护用具。筑坝围隔污染区，污染水体投加活性炭吸附处理。用活性炭、吸油棉</w:t>
            </w:r>
          </w:p>
          <w:p w14:paraId="1A5788D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等高吸油材料等现场吸附积水中的污染物，彻底清除后送到安全地方处理。</w:t>
            </w:r>
          </w:p>
        </w:tc>
      </w:tr>
      <w:tr w14:paraId="0C3704CA">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68F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529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酚类</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8D7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苯酚、间甲酚、对硝基苯酚、氯苯酚、三氯酚、五氯酚等。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04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多为白色结晶或油状液体，有特殊气味，不溶或微溶于水，密度一般大于水。该类物质一般具有较高的毒性，能刺激皮肤和消化道，在水中降解速度慢，有致癌和致畸作用。</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6D4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应急处置人员应佩带全身防护用具。筑坝或用围油栏围隔污染区后，用吸油棉等高吸油材料现场吸附残留泄漏物，转移到安全地方处理。污染水体投加生石灰漂白粉沉淀和促进降解，最后投加活性炭吸附处理。</w:t>
            </w:r>
          </w:p>
        </w:tc>
      </w:tr>
      <w:tr w14:paraId="620D9896">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6E5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0A0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农药类</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E9E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有机磷农药(甲胺磷、敌敌畏、敌百虫、乐果、氧化乐果、对硫磷、甲基对硫磷、马拉硫磷、苯硫磷、倍硫磷等，多用作杀虫剂)、氨基甲酸醋农药(吠喃丹、抗蚜威、速灭威、灭多威、丙硫威等， 多用于杀虫剂和抗菌剂)、拟除虫菊醋类农药(氟氰菊醋、澳氰菊醋、抓氛菊醋、杀灭菊醋，多用作杀虫剂)等。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5FB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2"/>
                <w:sz w:val="24"/>
                <w:szCs w:val="24"/>
                <w:lang w:val="zh-CN" w:eastAsia="zh-CN" w:bidi="zh-CN"/>
              </w:rPr>
              <w:t>（</w:t>
            </w:r>
            <w:r>
              <w:rPr>
                <w:rFonts w:hint="default" w:ascii="Times New Roman" w:hAnsi="Times New Roman" w:eastAsia="仿宋" w:cs="Times New Roman"/>
                <w:color w:val="000000"/>
                <w:kern w:val="2"/>
                <w:sz w:val="24"/>
                <w:szCs w:val="24"/>
                <w:lang w:val="en-US" w:eastAsia="zh-CN" w:bidi="zh-CN"/>
              </w:rPr>
              <w:t>1</w:t>
            </w:r>
            <w:r>
              <w:rPr>
                <w:rFonts w:hint="default" w:ascii="Times New Roman" w:hAnsi="Times New Roman" w:eastAsia="仿宋" w:cs="Times New Roman"/>
                <w:color w:val="000000"/>
                <w:kern w:val="2"/>
                <w:sz w:val="24"/>
                <w:szCs w:val="24"/>
                <w:lang w:val="zh-CN" w:eastAsia="zh-CN" w:bidi="zh-CN"/>
              </w:rPr>
              <w:t>）</w:t>
            </w:r>
            <w:r>
              <w:rPr>
                <w:rFonts w:hint="default" w:ascii="Times New Roman" w:hAnsi="Times New Roman" w:eastAsia="仿宋" w:cs="Times New Roman"/>
                <w:sz w:val="24"/>
                <w:szCs w:val="24"/>
              </w:rPr>
              <w:t>有机磷农药多数品种为油状液体，不溶于水，密度大于水，具有类似大蒜样特殊臭味，一般制成乳油使用。多为剧毒农药，通过消化道、呼吸道及皮肤吸收，对人及类高毒。</w:t>
            </w:r>
          </w:p>
          <w:p w14:paraId="15B65E5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氨基甲酸醋农药有喃丹、抗蚜威、速灭威灭多威、丙硫威等，多用于杀虫剂和抗菌剂。多为结晶粉末状，微溶于水，无气味或气味弱。多为剧毒农药，通过消化道、呼吸道及皮肤吸收。</w:t>
            </w:r>
          </w:p>
          <w:p w14:paraId="4E55939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right="0" w:right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拟除虫菊醋类农药有氣氰菊醋、澳氰菊醋、抓氛菊醋杀灭菊醋，多用作杀虫剂。一般为微黄色油状粘稠液体，不溶于水，溶于常用有机溶剂。是高效低残留杀虫剂，对鱼类高毒，对人类中等毒性，能损害神经、肝、肾等器官</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441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人员应配戴全身防护用具。关闭闸门或筑坝围隔污染区用活性炭吸收未溶的农药，收集到安全场所用碱性溶液无害化处理。对污染区用生石灰或漂自粉处置，破坏农药的致毒基团，达到解毒的目的。最后用活性炭进行吸附处理。</w:t>
            </w:r>
          </w:p>
        </w:tc>
      </w:tr>
      <w:tr w14:paraId="7998085E">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9DD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9</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D4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矿物油类</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081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汽油、煤油、柴油、机油、煤焦油、原油等。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103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一般为油状液体，不溶或微溶于水。煤焦油呈膏状，有特殊臭味，密度大于水。该类物质易燃烧，扩散速度快，易在水面形成污染带，绝水气界面，</w:t>
            </w:r>
          </w:p>
          <w:p w14:paraId="2D20E5C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造成水体缺氧。煤焦油沉在水底级慢溶解，对水体造成长久危害，并具有腐蚀性。</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1C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14:paraId="18C85953">
        <w:tblPrEx>
          <w:tblCellMar>
            <w:top w:w="77" w:type="dxa"/>
            <w:left w:w="0" w:type="dxa"/>
            <w:bottom w:w="0" w:type="dxa"/>
            <w:right w:w="0" w:type="dxa"/>
          </w:tblCellMar>
        </w:tblPrEx>
        <w:trPr>
          <w:trHeight w:val="23" w:hRule="atLeast"/>
          <w:tblHeader/>
          <w:jc w:val="center"/>
        </w:trPr>
        <w:tc>
          <w:tcPr>
            <w:tcW w:w="615" w:type="dxa"/>
            <w:vMerge w:val="restart"/>
            <w:tcBorders>
              <w:top w:val="single" w:color="000000" w:sz="4" w:space="0"/>
              <w:left w:val="single" w:color="000000" w:sz="4" w:space="0"/>
              <w:right w:val="single" w:color="000000" w:sz="4" w:space="0"/>
            </w:tcBorders>
            <w:shd w:val="clear" w:color="auto" w:fill="auto"/>
            <w:vAlign w:val="center"/>
          </w:tcPr>
          <w:p w14:paraId="09ACE93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10</w:t>
            </w:r>
          </w:p>
        </w:tc>
        <w:tc>
          <w:tcPr>
            <w:tcW w:w="756" w:type="dxa"/>
            <w:vMerge w:val="restart"/>
            <w:tcBorders>
              <w:top w:val="single" w:color="000000" w:sz="4" w:space="0"/>
              <w:left w:val="single" w:color="000000" w:sz="4" w:space="0"/>
              <w:right w:val="single" w:color="000000" w:sz="4" w:space="0"/>
            </w:tcBorders>
            <w:shd w:val="clear" w:color="auto" w:fill="auto"/>
            <w:vAlign w:val="center"/>
          </w:tcPr>
          <w:p w14:paraId="4ED9097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腐蚀性物质（包括酸性物质、碱</w:t>
            </w:r>
            <w:r>
              <w:rPr>
                <w:rFonts w:hint="default" w:ascii="Times New Roman" w:hAnsi="Times New Roman" w:eastAsia="仿宋" w:cs="Times New Roman"/>
                <w:color w:val="000000"/>
                <w:kern w:val="0"/>
                <w:sz w:val="24"/>
                <w:szCs w:val="24"/>
                <w:lang w:val="en-US" w:eastAsia="zh-CN" w:bidi="ar"/>
              </w:rPr>
              <w:t>性物质和强氧化性物质）</w:t>
            </w:r>
          </w:p>
          <w:p w14:paraId="5ED4F2E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79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盐酸、硫酸、硝酸、磷酸等。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107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浓盐酸和硝酸有酸性烟雾挥发出来，浓硫酸密度大于水，溶于水时产生大量热量。该类物质表现为强酸性和强腐蚀性，进入水体后将引起水体酸度急剧上升，严重腐蚀水工建筑物，破坏水生态系统，但在基质中碳酸钙的作用下其酸性和腐蚀能力会逐渐降低。</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A74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应急人员戴防护手套，处置挥发性酸时戴防毒面具，污染区投加碱性物质如生石灰、碳酸钠等中和。</w:t>
            </w:r>
          </w:p>
        </w:tc>
      </w:tr>
      <w:tr w14:paraId="3ED17F09">
        <w:tblPrEx>
          <w:tblCellMar>
            <w:top w:w="77" w:type="dxa"/>
            <w:left w:w="0" w:type="dxa"/>
            <w:bottom w:w="0" w:type="dxa"/>
            <w:right w:w="0" w:type="dxa"/>
          </w:tblCellMar>
        </w:tblPrEx>
        <w:trPr>
          <w:trHeight w:val="23" w:hRule="atLeast"/>
          <w:tblHeader/>
          <w:jc w:val="center"/>
        </w:trPr>
        <w:tc>
          <w:tcPr>
            <w:tcW w:w="615" w:type="dxa"/>
            <w:vMerge w:val="continue"/>
            <w:tcBorders>
              <w:left w:val="single" w:color="000000" w:sz="4" w:space="0"/>
              <w:right w:val="single" w:color="000000" w:sz="4" w:space="0"/>
            </w:tcBorders>
            <w:shd w:val="clear" w:color="auto" w:fill="auto"/>
            <w:vAlign w:val="center"/>
          </w:tcPr>
          <w:p w14:paraId="5573082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p>
        </w:tc>
        <w:tc>
          <w:tcPr>
            <w:tcW w:w="756" w:type="dxa"/>
            <w:vMerge w:val="continue"/>
            <w:tcBorders>
              <w:left w:val="single" w:color="000000" w:sz="4" w:space="0"/>
              <w:right w:val="single" w:color="000000" w:sz="4" w:space="0"/>
            </w:tcBorders>
            <w:shd w:val="clear" w:color="auto" w:fill="auto"/>
            <w:vAlign w:val="center"/>
          </w:tcPr>
          <w:p w14:paraId="56C21C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D7E3">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氢氧化钠、氢氧化钾、电石等。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1624">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氢氧化钠和氢氧化钾为白色颗粒，易潮解，易溶于水，多以溶液状态罐车运输。</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ADAD">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应急人员应带防护手套，在污染区投加酸性物质（如稀盐酸、稀硫酸等）中和处理。</w:t>
            </w:r>
          </w:p>
        </w:tc>
      </w:tr>
      <w:tr w14:paraId="71826A6F">
        <w:tblPrEx>
          <w:tblCellMar>
            <w:top w:w="77" w:type="dxa"/>
            <w:left w:w="0" w:type="dxa"/>
            <w:bottom w:w="0" w:type="dxa"/>
            <w:right w:w="0" w:type="dxa"/>
          </w:tblCellMar>
        </w:tblPrEx>
        <w:trPr>
          <w:trHeight w:val="23" w:hRule="atLeast"/>
          <w:tblHeader/>
          <w:jc w:val="center"/>
        </w:trPr>
        <w:tc>
          <w:tcPr>
            <w:tcW w:w="615" w:type="dxa"/>
            <w:vMerge w:val="continue"/>
            <w:tcBorders>
              <w:left w:val="single" w:color="000000" w:sz="4" w:space="0"/>
              <w:bottom w:val="single" w:color="000000" w:sz="4" w:space="0"/>
              <w:right w:val="single" w:color="000000" w:sz="4" w:space="0"/>
            </w:tcBorders>
            <w:shd w:val="clear" w:color="auto" w:fill="auto"/>
            <w:vAlign w:val="center"/>
          </w:tcPr>
          <w:p w14:paraId="509F51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p>
        </w:tc>
        <w:tc>
          <w:tcPr>
            <w:tcW w:w="756" w:type="dxa"/>
            <w:vMerge w:val="continue"/>
            <w:tcBorders>
              <w:left w:val="single" w:color="000000" w:sz="4" w:space="0"/>
              <w:bottom w:val="single" w:color="000000" w:sz="4" w:space="0"/>
              <w:right w:val="single" w:color="000000" w:sz="4" w:space="0"/>
            </w:tcBorders>
            <w:shd w:val="clear" w:color="auto" w:fill="auto"/>
            <w:vAlign w:val="center"/>
          </w:tcPr>
          <w:p w14:paraId="5E2950C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232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次氯酸钠、硝酸钾、重铬酸钾和高锰酸钾等。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C39A">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高锰酸钾为紫色晶体，重铬酸钾为鲜红色晶体，其余为白色晶体。该类物质一般易溶于水，具有强氧化性，腐蚀水工建筑物中的金属构件，重铬酸钾还能引起环境中铬类污染物的富集。</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FF9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应急人员应带防护手套，干态污染物应避免和有机物、金属粉末、易燃物等接触，以免发生爆炸。进人水体后可投加草酸钠还原。</w:t>
            </w:r>
          </w:p>
        </w:tc>
      </w:tr>
      <w:tr w14:paraId="482B79E1">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07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11</w:t>
            </w:r>
          </w:p>
        </w:tc>
        <w:tc>
          <w:tcPr>
            <w:tcW w:w="1396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60A654">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除上述常见的十类化学品外，各类病毒、细菌造成的水体污染可投加漂白粉、生石灰等消毒处置。</w:t>
            </w:r>
          </w:p>
        </w:tc>
      </w:tr>
    </w:tbl>
    <w:p w14:paraId="45C28AD4">
      <w:pPr>
        <w:keepNext w:val="0"/>
        <w:keepLines w:val="0"/>
        <w:pageBreakBefore w:val="0"/>
        <w:widowControl w:val="0"/>
        <w:kinsoku/>
        <w:overflowPunct/>
        <w:topLinePunct w:val="0"/>
        <w:bidi w:val="0"/>
        <w:spacing w:after="0" w:line="360" w:lineRule="auto"/>
        <w:ind w:left="0" w:right="0" w:firstLine="0"/>
        <w:rPr>
          <w:rFonts w:hint="default" w:ascii="Times New Roman" w:hAnsi="Times New Roman" w:eastAsia="仿宋" w:cs="Times New Roman"/>
          <w:sz w:val="28"/>
          <w:szCs w:val="28"/>
        </w:rPr>
        <w:sectPr>
          <w:headerReference r:id="rId16" w:type="default"/>
          <w:footerReference r:id="rId17" w:type="default"/>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bookmarkEnd w:id="152"/>
    <w:p w14:paraId="0ED0473D">
      <w:pPr>
        <w:pStyle w:val="3"/>
        <w:bidi w:val="0"/>
        <w:rPr>
          <w:rFonts w:hint="eastAsia" w:ascii="Times New Roman" w:hAnsi="Times New Roman"/>
          <w:lang w:val="en-US" w:eastAsia="zh-CN"/>
        </w:rPr>
      </w:pPr>
      <w:bookmarkStart w:id="153" w:name="_Toc19411"/>
      <w:r>
        <w:rPr>
          <w:rFonts w:hint="eastAsia" w:ascii="Times New Roman" w:hAnsi="Times New Roman"/>
          <w:lang w:val="en-US" w:eastAsia="zh-CN"/>
        </w:rPr>
        <w:t>附件6：</w:t>
      </w:r>
      <w:r>
        <w:rPr>
          <w:rFonts w:hint="eastAsia"/>
          <w:lang w:val="en-US" w:eastAsia="zh-CN"/>
        </w:rPr>
        <w:t>技术审查</w:t>
      </w:r>
      <w:r>
        <w:rPr>
          <w:rFonts w:hint="eastAsia" w:ascii="Times New Roman" w:hAnsi="Times New Roman"/>
          <w:lang w:val="en-US" w:eastAsia="zh-CN"/>
        </w:rPr>
        <w:t>意见</w:t>
      </w:r>
      <w:bookmarkEnd w:id="153"/>
    </w:p>
    <w:p w14:paraId="565ADBF9">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5266690" cy="7526020"/>
            <wp:effectExtent l="0" t="0" r="10160" b="17780"/>
            <wp:docPr id="12" name="图片 12" descr="52113719a1eee1cd387578dacb5ba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2113719a1eee1cd387578dacb5bae35"/>
                    <pic:cNvPicPr>
                      <a:picLocks noChangeAspect="1"/>
                    </pic:cNvPicPr>
                  </pic:nvPicPr>
                  <pic:blipFill>
                    <a:blip r:embed="rId38"/>
                    <a:stretch>
                      <a:fillRect/>
                    </a:stretch>
                  </pic:blipFill>
                  <pic:spPr>
                    <a:xfrm>
                      <a:off x="0" y="0"/>
                      <a:ext cx="5266690" cy="7526020"/>
                    </a:xfrm>
                    <a:prstGeom prst="rect">
                      <a:avLst/>
                    </a:prstGeom>
                  </pic:spPr>
                </pic:pic>
              </a:graphicData>
            </a:graphic>
          </wp:inline>
        </w:drawing>
      </w:r>
    </w:p>
    <w:sectPr>
      <w:footerReference r:id="rId21" w:type="first"/>
      <w:headerReference r:id="rId18" w:type="default"/>
      <w:footerReference r:id="rId19" w:type="default"/>
      <w:footerReference r:id="rId20"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1" w:fontKey="{A9D8141A-D7AA-4766-B851-C762687BF615}"/>
  </w:font>
  <w:font w:name="微软雅黑">
    <w:panose1 w:val="020B0503020204020204"/>
    <w:charset w:val="86"/>
    <w:family w:val="swiss"/>
    <w:pitch w:val="default"/>
    <w:sig w:usb0="80000287" w:usb1="2ACF3C50" w:usb2="00000016" w:usb3="00000000" w:csb0="0004001F" w:csb1="00000000"/>
    <w:embedRegular r:id="rId2" w:fontKey="{44E76508-AB00-4EF2-9568-618B4BB590D4}"/>
  </w:font>
  <w:font w:name="华文楷体">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17DA">
    <w:pPr>
      <w:spacing w:line="184" w:lineRule="auto"/>
      <w:rPr>
        <w:rFonts w:ascii="Times New Roman" w:hAnsi="Times New Roman" w:eastAsia="Times New Roman" w:cs="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5352">
    <w:pPr>
      <w:spacing w:after="0" w:line="259" w:lineRule="auto"/>
      <w:ind w:left="0" w:right="744" w:firstLine="0"/>
    </w:pPr>
    <w:r>
      <w:rPr>
        <w:sz w:val="3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F2A03">
                          <w:pPr>
                            <w:pStyle w:val="12"/>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1EF2A03">
                    <w:pPr>
                      <w:pStyle w:val="12"/>
                    </w:pPr>
                    <w:r>
                      <w:fldChar w:fldCharType="begin"/>
                    </w:r>
                    <w:r>
                      <w:instrText xml:space="preserve"> PAGE  \* MERGEFORMAT </w:instrText>
                    </w:r>
                    <w:r>
                      <w:fldChar w:fldCharType="separate"/>
                    </w:r>
                    <w:r>
                      <w:t>70</w:t>
                    </w:r>
                    <w:r>
                      <w:fldChar w:fldCharType="end"/>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E68B7">
                          <w:pPr>
                            <w:pStyle w:val="12"/>
                            <w:rPr>
                              <w:rFonts w:hint="default" w:eastAsia="微软雅黑"/>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19E68B7">
                    <w:pPr>
                      <w:pStyle w:val="12"/>
                      <w:rPr>
                        <w:rFonts w:hint="default" w:eastAsia="微软雅黑"/>
                        <w:lang w:val="en-US" w:eastAsia="zh-CN"/>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EE09">
    <w:pPr>
      <w:spacing w:after="0" w:line="259" w:lineRule="auto"/>
      <w:ind w:left="0" w:right="744" w:firstLine="0"/>
    </w:pPr>
    <w:r>
      <w:rPr>
        <w:sz w:val="3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87F8C">
                          <w:pPr>
                            <w:pStyle w:val="12"/>
                          </w:pPr>
                          <w:r>
                            <w:fldChar w:fldCharType="begin"/>
                          </w:r>
                          <w:r>
                            <w:instrText xml:space="preserve"> PAGE  \* MERGEFORMAT </w:instrText>
                          </w:r>
                          <w:r>
                            <w:fldChar w:fldCharType="separate"/>
                          </w:r>
                          <w:r>
                            <w:t>- 112 -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F787F8C">
                    <w:pPr>
                      <w:pStyle w:val="12"/>
                    </w:pPr>
                    <w:r>
                      <w:fldChar w:fldCharType="begin"/>
                    </w:r>
                    <w:r>
                      <w:instrText xml:space="preserve"> PAGE  \* MERGEFORMAT </w:instrText>
                    </w:r>
                    <w:r>
                      <w:fldChar w:fldCharType="separate"/>
                    </w:r>
                    <w:r>
                      <w:t>- 112 -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39E86">
    <w:pPr>
      <w:spacing w:after="0" w:line="259" w:lineRule="auto"/>
      <w:ind w:left="0" w:right="744"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98</w:t>
    </w:r>
    <w:r>
      <w:rPr>
        <w:rFonts w:ascii="Times New Roman" w:hAnsi="Times New Roman" w:eastAsia="Times New Roman" w:cs="Times New Roman"/>
        <w:sz w:val="18"/>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AE97B">
    <w:pPr>
      <w:spacing w:line="184" w:lineRule="auto"/>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8EEED">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608EEED">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AA706">
    <w:pPr>
      <w:spacing w:after="0" w:line="259" w:lineRule="auto"/>
      <w:ind w:left="1216" w:right="0" w:firstLine="0"/>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D25E1">
                          <w:pPr>
                            <w:pStyle w:val="1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29D25E1">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15629">
    <w:pPr>
      <w:spacing w:after="160" w:line="259" w:lineRule="auto"/>
      <w:ind w:left="0" w:right="0" w:firstLine="0"/>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71A43">
                          <w:pPr>
                            <w:pStyle w:val="1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2A71A43">
                    <w:pPr>
                      <w:pStyle w:val="1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A7B55">
    <w:pPr>
      <w:spacing w:after="160" w:line="259" w:lineRule="auto"/>
      <w:ind w:left="0" w:right="0" w:firstLine="0"/>
    </w:pPr>
    <w:r>
      <w:rPr>
        <w:sz w:val="3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2A317">
                          <w:pPr>
                            <w:pStyle w:val="12"/>
                          </w:pPr>
                          <w:r>
                            <w:fldChar w:fldCharType="begin"/>
                          </w:r>
                          <w:r>
                            <w:instrText xml:space="preserve"> PAGE  \* MERGEFORMAT </w:instrText>
                          </w:r>
                          <w:r>
                            <w:fldChar w:fldCharType="separate"/>
                          </w:r>
                          <w:r>
                            <w:t>- 82 -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23E2A317">
                    <w:pPr>
                      <w:pStyle w:val="12"/>
                    </w:pPr>
                    <w:r>
                      <w:fldChar w:fldCharType="begin"/>
                    </w:r>
                    <w:r>
                      <w:instrText xml:space="preserve"> PAGE  \* MERGEFORMAT </w:instrText>
                    </w:r>
                    <w:r>
                      <w:fldChar w:fldCharType="separate"/>
                    </w:r>
                    <w:r>
                      <w:t>- 82 -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FCD10">
    <w:pPr>
      <w:spacing w:after="0" w:line="259" w:lineRule="auto"/>
      <w:ind w:left="0" w:right="428" w:firstLine="0"/>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51AED">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6851AED">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75D5F">
    <w:pPr>
      <w:spacing w:after="0" w:line="259" w:lineRule="auto"/>
      <w:ind w:left="0" w:right="428" w:firstLine="0"/>
    </w:pPr>
    <w:r>
      <w:rPr>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9ECE5">
                          <w:pPr>
                            <w:pStyle w:val="12"/>
                          </w:pPr>
                          <w:r>
                            <w:fldChar w:fldCharType="begin"/>
                          </w:r>
                          <w:r>
                            <w:instrText xml:space="preserve"> PAGE  \* MERGEFORMAT </w:instrText>
                          </w:r>
                          <w:r>
                            <w:fldChar w:fldCharType="separate"/>
                          </w:r>
                          <w:r>
                            <w:t>- 94 -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6D9ECE5">
                    <w:pPr>
                      <w:pStyle w:val="12"/>
                    </w:pPr>
                    <w:r>
                      <w:fldChar w:fldCharType="begin"/>
                    </w:r>
                    <w:r>
                      <w:instrText xml:space="preserve"> PAGE  \* MERGEFORMAT </w:instrText>
                    </w:r>
                    <w:r>
                      <w:fldChar w:fldCharType="separate"/>
                    </w:r>
                    <w:r>
                      <w:t>- 94 -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822E0">
    <w:pPr>
      <w:spacing w:after="0" w:line="259" w:lineRule="auto"/>
      <w:ind w:left="0" w:right="428"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98</w:t>
    </w:r>
    <w:r>
      <w:rPr>
        <w:rFonts w:ascii="Times New Roman" w:hAnsi="Times New Roman" w:eastAsia="Times New Roman" w:cs="Times New Roman"/>
        <w:sz w:val="18"/>
      </w:rP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E406A">
    <w:pPr>
      <w:spacing w:after="0" w:line="259" w:lineRule="auto"/>
      <w:ind w:left="1017" w:right="0" w:firstLine="0"/>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57E25">
                          <w:pPr>
                            <w:pStyle w:val="12"/>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EF57E25">
                    <w:pPr>
                      <w:pStyle w:val="12"/>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46E1A">
    <w:pPr>
      <w:pStyle w:val="13"/>
      <w:jc w:val="right"/>
      <w:rPr>
        <w:rFonts w:ascii="宋体" w:hAnsi="宋体" w:eastAsia="宋体" w:cs="宋体"/>
        <w:sz w:val="21"/>
        <w:szCs w:val="21"/>
        <w:u w:val="single" w:color="auto"/>
        <w:shd w:val="clear" w:color="auto" w:fil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71964">
    <w:pPr>
      <w:pStyle w:val="7"/>
      <w:pBdr>
        <w:bottom w:val="none" w:color="auto" w:sz="0" w:space="0"/>
      </w:pBdr>
      <w:spacing w:line="14" w:lineRule="auto"/>
      <w:rPr>
        <w:sz w:val="2"/>
      </w:rPr>
    </w:pPr>
    <w:r>
      <mc:AlternateContent>
        <mc:Choice Requires="wps">
          <w:drawing>
            <wp:anchor distT="0" distB="0" distL="114300" distR="114300" simplePos="0" relativeHeight="251663360" behindDoc="0" locked="0" layoutInCell="0" allowOverlap="1">
              <wp:simplePos x="0" y="0"/>
              <wp:positionH relativeFrom="page">
                <wp:posOffset>901700</wp:posOffset>
              </wp:positionH>
              <wp:positionV relativeFrom="page">
                <wp:posOffset>547370</wp:posOffset>
              </wp:positionV>
              <wp:extent cx="8888095" cy="1943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8888095" cy="194310"/>
                      </a:xfrm>
                      <a:prstGeom prst="rect">
                        <a:avLst/>
                      </a:prstGeom>
                      <a:noFill/>
                      <a:ln>
                        <a:noFill/>
                      </a:ln>
                    </wps:spPr>
                    <wps:txbx>
                      <w:txbxContent>
                        <w:p w14:paraId="4121EC2A">
                          <w:pPr>
                            <w:pStyle w:val="13"/>
                            <w:jc w:val="both"/>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36A07BE3">
                          <w:pPr>
                            <w:tabs>
                              <w:tab w:val="left" w:pos="8420"/>
                            </w:tabs>
                            <w:spacing w:before="19" w:line="227" w:lineRule="auto"/>
                            <w:ind w:left="20"/>
                            <w:rPr>
                              <w:rFonts w:ascii="宋体" w:hAnsi="宋体" w:eastAsia="宋体" w:cs="宋体"/>
                              <w:sz w:val="20"/>
                              <w:szCs w:val="20"/>
                            </w:rPr>
                          </w:pPr>
                        </w:p>
                      </w:txbxContent>
                    </wps:txbx>
                    <wps:bodyPr lIns="0" tIns="0" rIns="0" bIns="0" upright="1"/>
                  </wps:wsp>
                </a:graphicData>
              </a:graphic>
            </wp:anchor>
          </w:drawing>
        </mc:Choice>
        <mc:Fallback>
          <w:pict>
            <v:shape id="_x0000_s1026" o:spid="_x0000_s1026" o:spt="202" type="#_x0000_t202" style="position:absolute;left:0pt;margin-left:71pt;margin-top:43.1pt;height:15.3pt;width:699.85pt;mso-position-horizontal-relative:page;mso-position-vertical-relative:page;z-index:251663360;mso-width-relative:page;mso-height-relative:page;" filled="f" stroked="f" coordsize="21600,21600" o:allowincell="f" o:gfxdata="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GQ/ZAAAACwEAAA8AAAAAAAAAAQAgAAAAIgAAAGRycy9kb3ducmV2LnhtbFBL&#10;AQIUABQAAAAIAIdO4kABrLCbvAEAAHIDAAAOAAAAAAAAAAEAIAAAACgBAABkcnMvZTJvRG9jLnht&#10;bFBLBQYAAAAABgAGAFkBAABWBQAAAAA=&#10;">
              <v:fill on="f" focussize="0,0"/>
              <v:stroke on="f"/>
              <v:imagedata o:title=""/>
              <o:lock v:ext="edit" aspectratio="f"/>
              <v:textbox inset="0mm,0mm,0mm,0mm">
                <w:txbxContent>
                  <w:p w14:paraId="4121EC2A">
                    <w:pPr>
                      <w:pStyle w:val="13"/>
                      <w:jc w:val="both"/>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36A07BE3">
                    <w:pPr>
                      <w:tabs>
                        <w:tab w:val="left" w:pos="8420"/>
                      </w:tabs>
                      <w:spacing w:before="19" w:line="227" w:lineRule="auto"/>
                      <w:ind w:left="20"/>
                      <w:rPr>
                        <w:rFonts w:ascii="宋体" w:hAnsi="宋体" w:eastAsia="宋体" w:cs="宋体"/>
                        <w:sz w:val="20"/>
                        <w:szCs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D83A">
    <w:pPr>
      <w:pStyle w:val="13"/>
      <w:jc w:val="right"/>
    </w:pPr>
    <w:r>
      <w:rPr>
        <w:rFonts w:hint="eastAsia"/>
        <w:lang w:eastAsia="zh-CN"/>
      </w:rPr>
      <w:tab/>
    </w:r>
    <w:r>
      <w:rPr>
        <w:rFonts w:hint="eastAsia"/>
        <w:lang w:eastAsia="zh-CN"/>
      </w:rPr>
      <w:tab/>
    </w:r>
    <w:r>
      <w:rPr>
        <w:rFonts w:hint="eastAsia" w:ascii="仿宋" w:hAnsi="仿宋" w:eastAsia="仿宋" w:cs="仿宋"/>
        <w:sz w:val="21"/>
        <w:szCs w:val="21"/>
        <w:u w:val="single" w:color="auto"/>
        <w:shd w:val="clear" w:color="auto" w:fill="auto"/>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5B980">
    <w:pPr>
      <w:pStyle w:val="13"/>
      <w:jc w:val="right"/>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1D81CBDE">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438B1">
    <w:pPr>
      <w:pStyle w:val="13"/>
      <w:jc w:val="right"/>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58091250">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9DCF3"/>
    <w:multiLevelType w:val="singleLevel"/>
    <w:tmpl w:val="9899DCF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hideGrammaticalErrors/>
  <w:documentProtection w:enforcement="0"/>
  <w:defaultTabStop w:val="420"/>
  <w:drawingGridHorizontalSpacing w:val="32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lY2NkM2EzNTc1MjNiZDM1NjVjYjY3NGUwMWU2MDkifQ=="/>
  </w:docVars>
  <w:rsids>
    <w:rsidRoot w:val="00611E8A"/>
    <w:rsid w:val="005B28EB"/>
    <w:rsid w:val="00611E8A"/>
    <w:rsid w:val="00B74F86"/>
    <w:rsid w:val="016C2D4F"/>
    <w:rsid w:val="01791910"/>
    <w:rsid w:val="01892937"/>
    <w:rsid w:val="018E678F"/>
    <w:rsid w:val="03A62E4E"/>
    <w:rsid w:val="03C340C6"/>
    <w:rsid w:val="03F5629E"/>
    <w:rsid w:val="042C09DB"/>
    <w:rsid w:val="065E11D2"/>
    <w:rsid w:val="066D1751"/>
    <w:rsid w:val="06F52F6B"/>
    <w:rsid w:val="072440CC"/>
    <w:rsid w:val="07874E15"/>
    <w:rsid w:val="07D96F93"/>
    <w:rsid w:val="08387E2F"/>
    <w:rsid w:val="08EB6C4F"/>
    <w:rsid w:val="0AD715A6"/>
    <w:rsid w:val="0D9C07CF"/>
    <w:rsid w:val="0E012293"/>
    <w:rsid w:val="0FD24432"/>
    <w:rsid w:val="108779BC"/>
    <w:rsid w:val="11156AC2"/>
    <w:rsid w:val="11703630"/>
    <w:rsid w:val="124D1381"/>
    <w:rsid w:val="125C296C"/>
    <w:rsid w:val="132A30A6"/>
    <w:rsid w:val="155B3E0E"/>
    <w:rsid w:val="1713404B"/>
    <w:rsid w:val="17954B7C"/>
    <w:rsid w:val="197B0DFE"/>
    <w:rsid w:val="19D127FF"/>
    <w:rsid w:val="19DF510A"/>
    <w:rsid w:val="19F96A97"/>
    <w:rsid w:val="1A086855"/>
    <w:rsid w:val="1B2456B1"/>
    <w:rsid w:val="1C2B4C5F"/>
    <w:rsid w:val="1CDF0421"/>
    <w:rsid w:val="1DB168A8"/>
    <w:rsid w:val="1E625D07"/>
    <w:rsid w:val="1F9116FB"/>
    <w:rsid w:val="20B901C6"/>
    <w:rsid w:val="21900E10"/>
    <w:rsid w:val="22A760AF"/>
    <w:rsid w:val="263A7D85"/>
    <w:rsid w:val="2A1774E7"/>
    <w:rsid w:val="2A1A4DDE"/>
    <w:rsid w:val="2B917537"/>
    <w:rsid w:val="2BCA4992"/>
    <w:rsid w:val="2C8F4E60"/>
    <w:rsid w:val="2CD26160"/>
    <w:rsid w:val="2EB711FE"/>
    <w:rsid w:val="2F892225"/>
    <w:rsid w:val="310E3884"/>
    <w:rsid w:val="31342F16"/>
    <w:rsid w:val="371A67CE"/>
    <w:rsid w:val="37660D5D"/>
    <w:rsid w:val="39F36964"/>
    <w:rsid w:val="3B054A1B"/>
    <w:rsid w:val="3C4D2B4D"/>
    <w:rsid w:val="3D4005C5"/>
    <w:rsid w:val="3E3123DE"/>
    <w:rsid w:val="4022098A"/>
    <w:rsid w:val="40823925"/>
    <w:rsid w:val="42B64554"/>
    <w:rsid w:val="438374FF"/>
    <w:rsid w:val="43D55E57"/>
    <w:rsid w:val="461F6153"/>
    <w:rsid w:val="46A2058E"/>
    <w:rsid w:val="46AD3ABB"/>
    <w:rsid w:val="46E63124"/>
    <w:rsid w:val="472745EF"/>
    <w:rsid w:val="488A45ED"/>
    <w:rsid w:val="4C7633FA"/>
    <w:rsid w:val="522D786C"/>
    <w:rsid w:val="5286077E"/>
    <w:rsid w:val="52AA63B5"/>
    <w:rsid w:val="5344322B"/>
    <w:rsid w:val="55156795"/>
    <w:rsid w:val="56FD6E81"/>
    <w:rsid w:val="579F6FC2"/>
    <w:rsid w:val="583837D8"/>
    <w:rsid w:val="588A1C44"/>
    <w:rsid w:val="58BC2ED3"/>
    <w:rsid w:val="58CD1949"/>
    <w:rsid w:val="59F40C45"/>
    <w:rsid w:val="5B451DD8"/>
    <w:rsid w:val="5C042EE3"/>
    <w:rsid w:val="5CE50D25"/>
    <w:rsid w:val="5FA83C10"/>
    <w:rsid w:val="5FED6B8B"/>
    <w:rsid w:val="612169A9"/>
    <w:rsid w:val="61334A71"/>
    <w:rsid w:val="616079D7"/>
    <w:rsid w:val="626B3D79"/>
    <w:rsid w:val="642740FE"/>
    <w:rsid w:val="64E06920"/>
    <w:rsid w:val="654428E8"/>
    <w:rsid w:val="678E732F"/>
    <w:rsid w:val="68C1317F"/>
    <w:rsid w:val="69D02AD2"/>
    <w:rsid w:val="69E812E9"/>
    <w:rsid w:val="6BA2023B"/>
    <w:rsid w:val="6D322614"/>
    <w:rsid w:val="6F7C4623"/>
    <w:rsid w:val="72203F91"/>
    <w:rsid w:val="72A439A3"/>
    <w:rsid w:val="72C154D1"/>
    <w:rsid w:val="7462590D"/>
    <w:rsid w:val="74E0092E"/>
    <w:rsid w:val="75106A57"/>
    <w:rsid w:val="75135EAB"/>
    <w:rsid w:val="7650719B"/>
    <w:rsid w:val="76EB7E96"/>
    <w:rsid w:val="770D5C33"/>
    <w:rsid w:val="77711ED0"/>
    <w:rsid w:val="779E5E91"/>
    <w:rsid w:val="79B60977"/>
    <w:rsid w:val="79C8614D"/>
    <w:rsid w:val="79D34F95"/>
    <w:rsid w:val="7B62654C"/>
    <w:rsid w:val="7DE75736"/>
    <w:rsid w:val="7FBD55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360" w:lineRule="auto"/>
      <w:ind w:left="0" w:right="0" w:firstLine="560" w:firstLineChars="200"/>
      <w:jc w:val="both"/>
    </w:pPr>
    <w:rPr>
      <w:rFonts w:ascii="Times New Roman" w:hAnsi="Times New Roman" w:eastAsia="仿宋" w:cs="微软雅黑"/>
      <w:color w:val="000000"/>
      <w:kern w:val="2"/>
      <w:sz w:val="28"/>
      <w:szCs w:val="24"/>
      <w:lang w:val="zh-CN" w:eastAsia="zh-CN" w:bidi="zh-CN"/>
    </w:rPr>
  </w:style>
  <w:style w:type="paragraph" w:styleId="2">
    <w:name w:val="heading 1"/>
    <w:next w:val="1"/>
    <w:link w:val="22"/>
    <w:autoRedefine/>
    <w:qFormat/>
    <w:uiPriority w:val="9"/>
    <w:pPr>
      <w:keepNext/>
      <w:keepLines/>
      <w:adjustRightInd w:val="0"/>
      <w:snapToGrid w:val="0"/>
      <w:spacing w:line="360" w:lineRule="auto"/>
      <w:ind w:left="0" w:firstLine="0"/>
      <w:jc w:val="center"/>
      <w:outlineLvl w:val="0"/>
    </w:pPr>
    <w:rPr>
      <w:rFonts w:ascii="Times New Roman" w:hAnsi="Times New Roman" w:eastAsia="仿宋" w:cs="微软雅黑"/>
      <w:b/>
      <w:color w:val="000000"/>
      <w:kern w:val="2"/>
      <w:sz w:val="36"/>
      <w:szCs w:val="24"/>
      <w:lang w:val="en-US" w:eastAsia="zh-CN" w:bidi="ar-SA"/>
    </w:rPr>
  </w:style>
  <w:style w:type="paragraph" w:styleId="3">
    <w:name w:val="heading 2"/>
    <w:basedOn w:val="1"/>
    <w:next w:val="1"/>
    <w:link w:val="25"/>
    <w:autoRedefine/>
    <w:unhideWhenUsed/>
    <w:qFormat/>
    <w:uiPriority w:val="9"/>
    <w:pPr>
      <w:keepNext/>
      <w:keepLines/>
      <w:adjustRightInd w:val="0"/>
      <w:snapToGrid w:val="0"/>
      <w:spacing w:line="360" w:lineRule="auto"/>
      <w:ind w:left="0" w:firstLine="0" w:firstLineChars="0"/>
      <w:jc w:val="both"/>
      <w:outlineLvl w:val="1"/>
    </w:pPr>
    <w:rPr>
      <w:b/>
      <w:sz w:val="32"/>
      <w:lang w:val="en-US" w:bidi="ar-SA"/>
    </w:rPr>
  </w:style>
  <w:style w:type="paragraph" w:styleId="4">
    <w:name w:val="heading 3"/>
    <w:basedOn w:val="1"/>
    <w:next w:val="1"/>
    <w:link w:val="21"/>
    <w:autoRedefine/>
    <w:unhideWhenUsed/>
    <w:qFormat/>
    <w:uiPriority w:val="9"/>
    <w:pPr>
      <w:keepNext/>
      <w:keepLines/>
      <w:adjustRightInd w:val="0"/>
      <w:snapToGrid w:val="0"/>
      <w:spacing w:line="360" w:lineRule="auto"/>
      <w:ind w:left="0" w:firstLine="0"/>
      <w:outlineLvl w:val="2"/>
    </w:pPr>
    <w:rPr>
      <w:rFonts w:ascii="Times New Roman" w:hAnsi="Times New Roman" w:eastAsia="仿宋" w:cs="Times New Roman"/>
      <w:b/>
      <w:color w:val="000000"/>
      <w:kern w:val="2"/>
      <w:sz w:val="30"/>
      <w:szCs w:val="24"/>
      <w:lang w:val="en-US" w:eastAsia="zh-CN" w:bidi="ar-SA"/>
    </w:rPr>
  </w:style>
  <w:style w:type="paragraph" w:styleId="5">
    <w:name w:val="heading 4"/>
    <w:basedOn w:val="1"/>
    <w:next w:val="1"/>
    <w:unhideWhenUsed/>
    <w:qFormat/>
    <w:uiPriority w:val="9"/>
    <w:pPr>
      <w:keepNext/>
      <w:keepLines/>
      <w:spacing w:beforeLines="0" w:beforeAutospacing="0" w:afterLines="0" w:afterAutospacing="0" w:line="360" w:lineRule="auto"/>
      <w:ind w:firstLine="0" w:firstLineChars="0"/>
      <w:outlineLvl w:val="3"/>
    </w:pPr>
    <w:rPr>
      <w:rFonts w:cs="Times New Roman"/>
      <w:b/>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qFormat/>
    <w:uiPriority w:val="0"/>
    <w:rPr>
      <w:rFonts w:ascii="Arial" w:hAnsi="Arial" w:eastAsia="Arial" w:cs="Arial"/>
      <w:sz w:val="21"/>
      <w:szCs w:val="21"/>
      <w:lang w:val="en-US" w:eastAsia="en-US" w:bidi="ar-SA"/>
    </w:rPr>
  </w:style>
  <w:style w:type="paragraph" w:styleId="8">
    <w:name w:val="Body Text Indent"/>
    <w:basedOn w:val="1"/>
    <w:autoRedefine/>
    <w:qFormat/>
    <w:uiPriority w:val="0"/>
    <w:pPr>
      <w:spacing w:after="120"/>
      <w:ind w:left="420" w:leftChars="200"/>
    </w:pPr>
  </w:style>
  <w:style w:type="paragraph" w:styleId="9">
    <w:name w:val="Block Text"/>
    <w:basedOn w:val="1"/>
    <w:autoRedefine/>
    <w:qFormat/>
    <w:uiPriority w:val="0"/>
    <w:pPr>
      <w:ind w:left="-540" w:right="-514" w:firstLine="540"/>
    </w:pPr>
    <w:rPr>
      <w:rFonts w:ascii="华文楷体" w:hAnsi="华文楷体" w:eastAsia="华文楷体"/>
      <w:sz w:val="30"/>
      <w:szCs w:val="30"/>
    </w:rPr>
  </w:style>
  <w:style w:type="paragraph" w:styleId="10">
    <w:name w:val="toc 3"/>
    <w:basedOn w:val="1"/>
    <w:next w:val="1"/>
    <w:semiHidden/>
    <w:unhideWhenUsed/>
    <w:qFormat/>
    <w:uiPriority w:val="39"/>
    <w:pPr>
      <w:ind w:left="840" w:leftChars="400"/>
    </w:pPr>
  </w:style>
  <w:style w:type="paragraph" w:styleId="11">
    <w:name w:val="Balloon Text"/>
    <w:basedOn w:val="1"/>
    <w:unhideWhenUsed/>
    <w:qFormat/>
    <w:uiPriority w:val="0"/>
    <w:rPr>
      <w:sz w:val="18"/>
      <w:szCs w:val="18"/>
    </w:rPr>
  </w:style>
  <w:style w:type="paragraph" w:styleId="12">
    <w:name w:val="footer"/>
    <w:basedOn w:val="1"/>
    <w:autoRedefine/>
    <w:semiHidden/>
    <w:unhideWhenUsed/>
    <w:qFormat/>
    <w:uiPriority w:val="99"/>
    <w:pPr>
      <w:tabs>
        <w:tab w:val="center" w:pos="4153"/>
        <w:tab w:val="right" w:pos="8306"/>
      </w:tabs>
      <w:snapToGrid w:val="0"/>
      <w:jc w:val="left"/>
    </w:pPr>
    <w:rPr>
      <w:sz w:val="18"/>
    </w:rPr>
  </w:style>
  <w:style w:type="paragraph" w:styleId="13">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semiHidden/>
    <w:unhideWhenUsed/>
    <w:qFormat/>
    <w:uiPriority w:val="39"/>
  </w:style>
  <w:style w:type="paragraph" w:styleId="15">
    <w:name w:val="toc 2"/>
    <w:basedOn w:val="1"/>
    <w:next w:val="1"/>
    <w:semiHidden/>
    <w:unhideWhenUsed/>
    <w:qFormat/>
    <w:uiPriority w:val="39"/>
    <w:pPr>
      <w:ind w:left="420" w:leftChars="200"/>
    </w:pPr>
  </w:style>
  <w:style w:type="paragraph" w:styleId="16">
    <w:name w:val="Normal (Web)"/>
    <w:basedOn w:val="1"/>
    <w:next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8"/>
    <w:next w:val="1"/>
    <w:autoRedefine/>
    <w:qFormat/>
    <w:uiPriority w:val="0"/>
    <w:pPr>
      <w:ind w:firstLine="420" w:firstLineChars="200"/>
    </w:pPr>
  </w:style>
  <w:style w:type="table" w:styleId="19">
    <w:name w:val="Table Grid"/>
    <w:basedOn w:val="1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3 字符"/>
    <w:link w:val="4"/>
    <w:autoRedefine/>
    <w:qFormat/>
    <w:uiPriority w:val="0"/>
    <w:rPr>
      <w:rFonts w:ascii="Times New Roman" w:hAnsi="Times New Roman" w:eastAsia="仿宋" w:cs="Times New Roman"/>
      <w:b/>
      <w:color w:val="000000"/>
      <w:sz w:val="30"/>
    </w:rPr>
  </w:style>
  <w:style w:type="character" w:customStyle="1" w:styleId="22">
    <w:name w:val="标题 1 字符"/>
    <w:link w:val="2"/>
    <w:autoRedefine/>
    <w:qFormat/>
    <w:uiPriority w:val="0"/>
    <w:rPr>
      <w:rFonts w:ascii="Times New Roman" w:hAnsi="Times New Roman" w:eastAsia="仿宋" w:cs="微软雅黑"/>
      <w:b/>
      <w:color w:val="000000"/>
      <w:sz w:val="36"/>
    </w:rPr>
  </w:style>
  <w:style w:type="paragraph" w:customStyle="1" w:styleId="23">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4">
    <w:name w:val="No Spacing_ad81b47b-6779-4c76-b471-79375858c8cb"/>
    <w:basedOn w:val="1"/>
    <w:next w:val="1"/>
    <w:autoRedefine/>
    <w:qFormat/>
    <w:uiPriority w:val="0"/>
    <w:pPr>
      <w:ind w:firstLine="200" w:firstLineChars="200"/>
    </w:pPr>
  </w:style>
  <w:style w:type="character" w:customStyle="1" w:styleId="25">
    <w:name w:val="标题 2 字符"/>
    <w:link w:val="3"/>
    <w:autoRedefine/>
    <w:qFormat/>
    <w:uiPriority w:val="0"/>
    <w:rPr>
      <w:rFonts w:ascii="Times New Roman" w:hAnsi="Times New Roman" w:eastAsia="仿宋" w:cs="微软雅黑"/>
      <w:b/>
      <w:color w:val="000000"/>
      <w:sz w:val="32"/>
    </w:rPr>
  </w:style>
  <w:style w:type="table" w:customStyle="1" w:styleId="26">
    <w:name w:val="TableGrid"/>
    <w:autoRedefine/>
    <w:qFormat/>
    <w:uiPriority w:val="0"/>
    <w:tblPr>
      <w:tblCellMar>
        <w:top w:w="0" w:type="dxa"/>
        <w:left w:w="0" w:type="dxa"/>
        <w:bottom w:w="0" w:type="dxa"/>
        <w:right w:w="0" w:type="dxa"/>
      </w:tblCellMar>
    </w:tblPr>
  </w:style>
  <w:style w:type="character" w:customStyle="1" w:styleId="27">
    <w:name w:val="font31"/>
    <w:basedOn w:val="20"/>
    <w:autoRedefine/>
    <w:qFormat/>
    <w:uiPriority w:val="0"/>
    <w:rPr>
      <w:rFonts w:hint="eastAsia" w:ascii="宋体" w:hAnsi="宋体" w:eastAsia="宋体" w:cs="宋体"/>
      <w:b/>
      <w:bCs/>
      <w:color w:val="000000"/>
      <w:sz w:val="20"/>
      <w:szCs w:val="20"/>
      <w:u w:val="none"/>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paragraph" w:customStyle="1" w:styleId="29">
    <w:name w:val="Table Text"/>
    <w:basedOn w:val="1"/>
    <w:autoRedefine/>
    <w:semiHidden/>
    <w:qFormat/>
    <w:uiPriority w:val="0"/>
    <w:rPr>
      <w:rFonts w:ascii="仿宋" w:hAnsi="仿宋" w:eastAsia="仿宋" w:cs="仿宋"/>
      <w:sz w:val="20"/>
      <w:szCs w:val="20"/>
      <w:lang w:val="en-US" w:eastAsia="en-US" w:bidi="ar-SA"/>
    </w:rPr>
  </w:style>
  <w:style w:type="paragraph" w:customStyle="1" w:styleId="30">
    <w:name w:val="文字"/>
    <w:basedOn w:val="1"/>
    <w:qFormat/>
    <w:uiPriority w:val="0"/>
    <w:pPr>
      <w:widowControl/>
      <w:spacing w:afterLines="50" w:line="360" w:lineRule="auto"/>
      <w:ind w:firstLine="420"/>
    </w:pPr>
    <w:rPr>
      <w:sz w:val="24"/>
      <w:szCs w:val="24"/>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环评一级标题"/>
    <w:basedOn w:val="1"/>
    <w:next w:val="11"/>
    <w:qFormat/>
    <w:uiPriority w:val="0"/>
    <w:pPr>
      <w:tabs>
        <w:tab w:val="left" w:pos="4540"/>
      </w:tabs>
      <w:spacing w:before="312" w:after="312"/>
      <w:jc w:val="center"/>
      <w:outlineLvl w:val="0"/>
    </w:pPr>
    <w:rPr>
      <w:rFonts w:ascii="Times New Roman" w:hAnsi="Times New Roman" w:eastAsia="黑体"/>
      <w:b/>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jpeg"/><Relationship Id="rId37" Type="http://schemas.openxmlformats.org/officeDocument/2006/relationships/image" Target="media/image15.png"/><Relationship Id="rId36" Type="http://schemas.openxmlformats.org/officeDocument/2006/relationships/image" Target="media/image14.jpe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pn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5826</Words>
  <Characters>6501</Characters>
  <Lines>368</Lines>
  <Paragraphs>103</Paragraphs>
  <TotalTime>7</TotalTime>
  <ScaleCrop>false</ScaleCrop>
  <LinksUpToDate>false</LinksUpToDate>
  <CharactersWithSpaces>6841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2023-12-07T01:25:00Z</dcterms:created>
  <dc:creator>my</dc:creator>
  <cp:lastModifiedBy>成</cp:lastModifiedBy>
  <cp:lastPrinted>2023-12-20T03:13:00Z</cp:lastPrinted>
  <dcterms:modified xsi:type="dcterms:W3CDTF">2025-12-09T01:20:34Z</dcterms:modified>
  <dc:title>前  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BFADB060E086444D91EA62ACA94FEB3B_13</vt:lpwstr>
  </property>
  <property fmtid="{D5CDD505-2E9C-101B-9397-08002B2CF9AE}" pid="4" name="KSOTemplateDocerSaveRecord">
    <vt:lpwstr>eyJoZGlkIjoiYzhiZDY4YjQ3MTExMWUwZTQzNDEyNzQxZDIxMzNjZTQiLCJ1c2VySWQiOiIxMTQ5OTg3NTc2In0=</vt:lpwstr>
  </property>
</Properties>
</file>