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165E5C">
      <w:pPr>
        <w:keepNext w:val="0"/>
        <w:keepLines w:val="0"/>
        <w:pageBreakBefore w:val="0"/>
        <w:widowControl w:val="0"/>
        <w:tabs>
          <w:tab w:val="left" w:pos="3120"/>
        </w:tabs>
        <w:kinsoku/>
        <w:wordWrap/>
        <w:overflowPunct/>
        <w:topLinePunct w:val="0"/>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2BDEF4CD">
      <w:pPr>
        <w:keepNext w:val="0"/>
        <w:keepLines w:val="0"/>
        <w:pageBreakBefore w:val="0"/>
        <w:widowControl w:val="0"/>
        <w:tabs>
          <w:tab w:val="left" w:pos="3120"/>
        </w:tabs>
        <w:kinsoku/>
        <w:wordWrap/>
        <w:overflowPunct/>
        <w:topLinePunct w:val="0"/>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080560EE">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outlineLvl w:val="9"/>
        <w:rPr>
          <w:rFonts w:hint="default" w:ascii="Times New Roman" w:hAnsi="Times New Roman" w:eastAsia="仿宋" w:cs="Times New Roman"/>
          <w:b/>
          <w:bCs w:val="0"/>
          <w:color w:val="000000"/>
          <w:sz w:val="52"/>
          <w:szCs w:val="52"/>
          <w:highlight w:val="none"/>
        </w:rPr>
      </w:pPr>
      <w:bookmarkStart w:id="0" w:name="_Toc12187"/>
      <w:r>
        <w:rPr>
          <w:rFonts w:hint="eastAsia" w:cs="Times New Roman"/>
          <w:b/>
          <w:bCs w:val="0"/>
          <w:color w:val="000000"/>
          <w:spacing w:val="-17"/>
          <w:sz w:val="52"/>
          <w:szCs w:val="52"/>
          <w:highlight w:val="none"/>
          <w:lang w:val="en-US" w:eastAsia="zh-CN"/>
        </w:rPr>
        <w:t>汾阳市10处乡镇集中式饮用水水源地</w:t>
      </w:r>
      <w:bookmarkStart w:id="1" w:name="_Toc29212"/>
      <w:bookmarkStart w:id="2" w:name="_Toc19132"/>
      <w:bookmarkStart w:id="3" w:name="_Toc21901"/>
      <w:bookmarkStart w:id="4" w:name="_Toc27828"/>
      <w:r>
        <w:rPr>
          <w:rFonts w:hint="default" w:ascii="Times New Roman" w:hAnsi="Times New Roman" w:eastAsia="仿宋" w:cs="Times New Roman"/>
          <w:b/>
          <w:bCs w:val="0"/>
          <w:color w:val="000000"/>
          <w:sz w:val="52"/>
          <w:szCs w:val="52"/>
          <w:highlight w:val="none"/>
        </w:rPr>
        <w:t>突发环境事件应急预案</w:t>
      </w:r>
      <w:bookmarkEnd w:id="0"/>
      <w:bookmarkEnd w:id="1"/>
      <w:bookmarkEnd w:id="2"/>
      <w:bookmarkEnd w:id="3"/>
      <w:bookmarkEnd w:id="4"/>
    </w:p>
    <w:p w14:paraId="1F4FB6AA">
      <w:pPr>
        <w:pStyle w:val="23"/>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color w:val="000000"/>
          <w:sz w:val="28"/>
          <w:szCs w:val="28"/>
          <w:highlight w:val="none"/>
          <w:lang w:eastAsia="zh-CN"/>
        </w:rPr>
      </w:pPr>
    </w:p>
    <w:p w14:paraId="75C29010">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1EA2640A">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45D4BAF4">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r>
        <w:rPr>
          <w:rFonts w:hint="default" w:ascii="Times New Roman" w:hAnsi="Times New Roman" w:eastAsia="仿宋" w:cs="Times New Roman"/>
          <w:sz w:val="28"/>
          <w:szCs w:val="28"/>
          <w:highlight w:val="none"/>
        </w:rPr>
        <w:drawing>
          <wp:anchor distT="0" distB="0" distL="114300" distR="114300" simplePos="0" relativeHeight="251664384" behindDoc="0" locked="0" layoutInCell="1" allowOverlap="0">
            <wp:simplePos x="0" y="0"/>
            <wp:positionH relativeFrom="column">
              <wp:posOffset>1652905</wp:posOffset>
            </wp:positionH>
            <wp:positionV relativeFrom="paragraph">
              <wp:posOffset>509905</wp:posOffset>
            </wp:positionV>
            <wp:extent cx="1993900" cy="1896110"/>
            <wp:effectExtent l="0" t="0" r="6350" b="8890"/>
            <wp:wrapTopAndBottom/>
            <wp:docPr id="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
                    <pic:cNvPicPr>
                      <a:picLocks noChangeAspect="1"/>
                    </pic:cNvPicPr>
                  </pic:nvPicPr>
                  <pic:blipFill>
                    <a:blip r:embed="rId23"/>
                    <a:stretch>
                      <a:fillRect/>
                    </a:stretch>
                  </pic:blipFill>
                  <pic:spPr>
                    <a:xfrm>
                      <a:off x="0" y="0"/>
                      <a:ext cx="1993900" cy="1896110"/>
                    </a:xfrm>
                    <a:prstGeom prst="rect">
                      <a:avLst/>
                    </a:prstGeom>
                    <a:noFill/>
                    <a:ln>
                      <a:noFill/>
                    </a:ln>
                  </pic:spPr>
                </pic:pic>
              </a:graphicData>
            </a:graphic>
          </wp:anchor>
        </w:drawing>
      </w:r>
    </w:p>
    <w:p w14:paraId="17CC3687">
      <w:pPr>
        <w:pStyle w:val="23"/>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252A4421">
      <w:pPr>
        <w:pStyle w:val="23"/>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322D2667">
      <w:pPr>
        <w:pStyle w:val="23"/>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151B291A">
      <w:pPr>
        <w:pStyle w:val="23"/>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60CF38BA">
      <w:pPr>
        <w:pStyle w:val="23"/>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3E357F0A">
      <w:pPr>
        <w:pStyle w:val="23"/>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28"/>
          <w:szCs w:val="28"/>
          <w:highlight w:val="none"/>
        </w:rPr>
      </w:pPr>
    </w:p>
    <w:p w14:paraId="7B27BE3C">
      <w:pPr>
        <w:pStyle w:val="23"/>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z w:val="36"/>
          <w:szCs w:val="36"/>
          <w:highlight w:val="none"/>
        </w:rPr>
      </w:pPr>
    </w:p>
    <w:p w14:paraId="5EAD9ABF">
      <w:pPr>
        <w:pStyle w:val="23"/>
        <w:keepNext w:val="0"/>
        <w:keepLines w:val="0"/>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仿宋" w:cs="Times New Roman"/>
          <w:b/>
          <w:color w:val="000000"/>
          <w:spacing w:val="20"/>
          <w:sz w:val="36"/>
          <w:szCs w:val="36"/>
          <w:highlight w:val="none"/>
          <w:lang w:eastAsia="zh-CN"/>
        </w:rPr>
      </w:pPr>
      <w:r>
        <w:rPr>
          <w:rFonts w:hint="eastAsia" w:ascii="Times New Roman" w:hAnsi="Times New Roman" w:eastAsia="仿宋" w:cs="Times New Roman"/>
          <w:b/>
          <w:color w:val="000000"/>
          <w:spacing w:val="20"/>
          <w:sz w:val="36"/>
          <w:szCs w:val="36"/>
          <w:highlight w:val="none"/>
          <w:lang w:val="en-US" w:eastAsia="zh-CN"/>
        </w:rPr>
        <w:t>汾阳市</w:t>
      </w:r>
      <w:r>
        <w:rPr>
          <w:rFonts w:hint="default" w:ascii="Times New Roman" w:hAnsi="Times New Roman" w:eastAsia="仿宋" w:cs="Times New Roman"/>
          <w:b/>
          <w:color w:val="000000"/>
          <w:spacing w:val="20"/>
          <w:sz w:val="36"/>
          <w:szCs w:val="36"/>
          <w:highlight w:val="none"/>
          <w:lang w:eastAsia="zh-CN"/>
        </w:rPr>
        <w:t>人民政府</w:t>
      </w:r>
    </w:p>
    <w:p w14:paraId="40FB81A3">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仿宋" w:cs="Times New Roman"/>
          <w:b/>
          <w:color w:val="000000"/>
          <w:sz w:val="36"/>
          <w:szCs w:val="36"/>
          <w:highlight w:val="none"/>
        </w:rPr>
      </w:pPr>
      <w:r>
        <w:rPr>
          <w:rFonts w:hint="eastAsia" w:cs="Times New Roman"/>
          <w:b/>
          <w:color w:val="000000"/>
          <w:sz w:val="36"/>
          <w:szCs w:val="36"/>
          <w:highlight w:val="none"/>
          <w:lang w:val="en-US" w:eastAsia="zh-CN"/>
        </w:rPr>
        <w:t>2025年11</w:t>
      </w:r>
      <w:r>
        <w:rPr>
          <w:rFonts w:hint="default" w:ascii="Times New Roman" w:hAnsi="Times New Roman" w:eastAsia="仿宋" w:cs="Times New Roman"/>
          <w:b/>
          <w:color w:val="000000"/>
          <w:sz w:val="36"/>
          <w:szCs w:val="36"/>
          <w:highlight w:val="none"/>
        </w:rPr>
        <w:t>月</w:t>
      </w:r>
    </w:p>
    <w:p w14:paraId="30146EC1">
      <w:pPr>
        <w:bidi w:val="0"/>
        <w:rPr>
          <w:rFonts w:hint="default"/>
        </w:rPr>
      </w:pPr>
      <w:r>
        <w:rPr>
          <w:rFonts w:hint="default"/>
        </w:rPr>
        <w:br w:type="page"/>
      </w:r>
    </w:p>
    <w:p w14:paraId="29139D00">
      <w:pPr>
        <w:pStyle w:val="13"/>
        <w:rPr>
          <w:rFonts w:hint="default"/>
        </w:rPr>
      </w:pPr>
    </w:p>
    <w:p w14:paraId="5E196D2B">
      <w:pPr>
        <w:keepNext w:val="0"/>
        <w:keepLines w:val="0"/>
        <w:pageBreakBefore w:val="0"/>
        <w:widowControl w:val="0"/>
        <w:kinsoku/>
        <w:wordWrap/>
        <w:overflowPunct/>
        <w:topLinePunct w:val="0"/>
        <w:autoSpaceDE/>
        <w:autoSpaceDN/>
        <w:bidi w:val="0"/>
        <w:adjustRightInd/>
        <w:snapToGrid/>
        <w:spacing w:after="0" w:line="360" w:lineRule="auto"/>
        <w:ind w:left="11" w:right="74" w:firstLine="0" w:firstLineChars="0"/>
        <w:jc w:val="center"/>
        <w:textAlignment w:val="auto"/>
        <w:rPr>
          <w:rFonts w:hint="eastAsia" w:ascii="仿宋" w:hAnsi="仿宋" w:eastAsia="仿宋" w:cs="仿宋"/>
          <w:b/>
          <w:bCs w:val="0"/>
          <w:caps w:val="0"/>
          <w:sz w:val="32"/>
          <w:szCs w:val="32"/>
          <w:lang w:val="en-US" w:eastAsia="zh-CN"/>
        </w:rPr>
      </w:pPr>
      <w:r>
        <w:rPr>
          <w:rFonts w:hint="eastAsia" w:ascii="仿宋" w:hAnsi="仿宋" w:cs="仿宋"/>
          <w:b/>
          <w:bCs w:val="0"/>
          <w:caps w:val="0"/>
          <w:sz w:val="32"/>
          <w:szCs w:val="32"/>
          <w:lang w:val="en-US" w:eastAsia="zh-CN"/>
        </w:rPr>
        <w:t>汾阳市10处乡镇集中式饮用水水源地</w:t>
      </w:r>
    </w:p>
    <w:p w14:paraId="5C8629C0">
      <w:pPr>
        <w:keepNext w:val="0"/>
        <w:keepLines w:val="0"/>
        <w:pageBreakBefore w:val="0"/>
        <w:widowControl w:val="0"/>
        <w:kinsoku/>
        <w:wordWrap/>
        <w:overflowPunct/>
        <w:topLinePunct w:val="0"/>
        <w:autoSpaceDE/>
        <w:autoSpaceDN/>
        <w:bidi w:val="0"/>
        <w:adjustRightInd/>
        <w:snapToGrid/>
        <w:spacing w:after="0" w:line="360" w:lineRule="auto"/>
        <w:ind w:left="11" w:right="74" w:firstLine="0" w:firstLineChars="0"/>
        <w:jc w:val="center"/>
        <w:textAlignment w:val="auto"/>
        <w:rPr>
          <w:rFonts w:hint="default" w:ascii="仿宋" w:hAnsi="仿宋" w:eastAsia="仿宋" w:cs="仿宋"/>
          <w:b/>
          <w:color w:val="000000"/>
          <w:kern w:val="0"/>
          <w:sz w:val="32"/>
          <w:szCs w:val="32"/>
          <w:lang w:val="en-US" w:eastAsia="zh-CN" w:bidi="ar"/>
        </w:rPr>
      </w:pPr>
      <w:r>
        <w:rPr>
          <w:rFonts w:hint="eastAsia" w:ascii="仿宋" w:hAnsi="仿宋" w:eastAsia="仿宋" w:cs="仿宋"/>
          <w:b/>
          <w:bCs w:val="0"/>
          <w:caps w:val="0"/>
          <w:sz w:val="32"/>
          <w:szCs w:val="32"/>
          <w:lang w:val="en-US" w:eastAsia="zh-CN"/>
        </w:rPr>
        <w:t>突发环境事件应急预案</w:t>
      </w:r>
      <w:r>
        <w:rPr>
          <w:rFonts w:hint="eastAsia" w:ascii="仿宋" w:hAnsi="仿宋" w:cs="仿宋"/>
          <w:b/>
          <w:bCs w:val="0"/>
          <w:caps w:val="0"/>
          <w:sz w:val="32"/>
          <w:szCs w:val="32"/>
          <w:lang w:val="en-US" w:eastAsia="zh-CN"/>
        </w:rPr>
        <w:t>专家意见修改说明</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3244"/>
        <w:gridCol w:w="3086"/>
        <w:gridCol w:w="1298"/>
      </w:tblGrid>
      <w:tr w14:paraId="62D90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1947EE6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val="0"/>
                <w:color w:val="000000"/>
                <w:kern w:val="0"/>
                <w:sz w:val="28"/>
                <w:szCs w:val="28"/>
                <w:vertAlign w:val="baseline"/>
                <w:lang w:val="en-US" w:eastAsia="zh-CN" w:bidi="ar"/>
              </w:rPr>
            </w:pPr>
            <w:r>
              <w:rPr>
                <w:rFonts w:hint="eastAsia" w:ascii="仿宋" w:hAnsi="仿宋" w:eastAsia="仿宋" w:cs="仿宋"/>
                <w:b/>
                <w:bCs w:val="0"/>
                <w:color w:val="000000"/>
                <w:kern w:val="0"/>
                <w:sz w:val="28"/>
                <w:szCs w:val="28"/>
                <w:vertAlign w:val="baseline"/>
                <w:lang w:val="en-US" w:eastAsia="zh-CN" w:bidi="ar"/>
              </w:rPr>
              <w:t>序号</w:t>
            </w:r>
          </w:p>
        </w:tc>
        <w:tc>
          <w:tcPr>
            <w:tcW w:w="3244" w:type="dxa"/>
            <w:vAlign w:val="center"/>
          </w:tcPr>
          <w:p w14:paraId="0CB58D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val="0"/>
                <w:color w:val="000000"/>
                <w:kern w:val="0"/>
                <w:sz w:val="28"/>
                <w:szCs w:val="28"/>
                <w:vertAlign w:val="baseline"/>
                <w:lang w:val="en-US" w:eastAsia="zh-CN" w:bidi="ar"/>
              </w:rPr>
            </w:pPr>
            <w:r>
              <w:rPr>
                <w:rFonts w:hint="eastAsia" w:ascii="仿宋" w:hAnsi="仿宋" w:eastAsia="仿宋" w:cs="仿宋"/>
                <w:b/>
                <w:bCs w:val="0"/>
                <w:color w:val="000000"/>
                <w:kern w:val="0"/>
                <w:sz w:val="28"/>
                <w:szCs w:val="28"/>
                <w:vertAlign w:val="baseline"/>
                <w:lang w:val="en-US" w:eastAsia="zh-CN" w:bidi="ar"/>
              </w:rPr>
              <w:t>专家意见</w:t>
            </w:r>
          </w:p>
        </w:tc>
        <w:tc>
          <w:tcPr>
            <w:tcW w:w="3086" w:type="dxa"/>
            <w:vAlign w:val="center"/>
          </w:tcPr>
          <w:p w14:paraId="3D2BF0E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val="0"/>
                <w:color w:val="000000"/>
                <w:kern w:val="0"/>
                <w:sz w:val="28"/>
                <w:szCs w:val="28"/>
                <w:vertAlign w:val="baseline"/>
                <w:lang w:val="en-US" w:eastAsia="zh-CN" w:bidi="ar"/>
              </w:rPr>
            </w:pPr>
            <w:r>
              <w:rPr>
                <w:rFonts w:hint="eastAsia" w:ascii="仿宋" w:hAnsi="仿宋" w:eastAsia="仿宋" w:cs="仿宋"/>
                <w:b/>
                <w:bCs w:val="0"/>
                <w:color w:val="000000"/>
                <w:kern w:val="0"/>
                <w:sz w:val="28"/>
                <w:szCs w:val="28"/>
                <w:vertAlign w:val="baseline"/>
                <w:lang w:val="en-US" w:eastAsia="zh-CN" w:bidi="ar"/>
              </w:rPr>
              <w:t>修改说明</w:t>
            </w:r>
          </w:p>
        </w:tc>
        <w:tc>
          <w:tcPr>
            <w:tcW w:w="1298" w:type="dxa"/>
            <w:vAlign w:val="center"/>
          </w:tcPr>
          <w:p w14:paraId="52FA254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bCs w:val="0"/>
                <w:color w:val="000000"/>
                <w:kern w:val="0"/>
                <w:sz w:val="28"/>
                <w:szCs w:val="28"/>
                <w:vertAlign w:val="baseline"/>
                <w:lang w:val="en-US" w:eastAsia="zh-CN" w:bidi="ar"/>
              </w:rPr>
            </w:pPr>
            <w:r>
              <w:rPr>
                <w:rFonts w:hint="eastAsia" w:ascii="仿宋" w:hAnsi="仿宋" w:eastAsia="仿宋" w:cs="仿宋"/>
                <w:b/>
                <w:bCs w:val="0"/>
                <w:color w:val="000000"/>
                <w:kern w:val="0"/>
                <w:sz w:val="28"/>
                <w:szCs w:val="28"/>
                <w:vertAlign w:val="baseline"/>
                <w:lang w:val="en-US" w:eastAsia="zh-CN" w:bidi="ar"/>
              </w:rPr>
              <w:t>页码</w:t>
            </w:r>
          </w:p>
        </w:tc>
      </w:tr>
      <w:tr w14:paraId="760D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167C1D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1</w:t>
            </w:r>
          </w:p>
        </w:tc>
        <w:tc>
          <w:tcPr>
            <w:tcW w:w="3244" w:type="dxa"/>
            <w:vAlign w:val="center"/>
          </w:tcPr>
          <w:p w14:paraId="12C99C4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lang w:val="en-US" w:eastAsia="zh-CN"/>
              </w:rPr>
              <w:t>完善与汾阳市人民政府、吕梁市生态环境局汾阳分局等相关预案的衔接内容</w:t>
            </w:r>
          </w:p>
        </w:tc>
        <w:tc>
          <w:tcPr>
            <w:tcW w:w="3086" w:type="dxa"/>
            <w:vAlign w:val="center"/>
          </w:tcPr>
          <w:p w14:paraId="53765B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lang w:val="en-US" w:eastAsia="zh-CN"/>
              </w:rPr>
              <w:t>完善与汾阳市人民政府、吕梁市生态环境局汾阳分局等相关预案的衔接内容</w:t>
            </w:r>
          </w:p>
        </w:tc>
        <w:tc>
          <w:tcPr>
            <w:tcW w:w="1298" w:type="dxa"/>
            <w:vAlign w:val="center"/>
          </w:tcPr>
          <w:p w14:paraId="290747E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见预案P3</w:t>
            </w:r>
          </w:p>
        </w:tc>
      </w:tr>
      <w:tr w14:paraId="320EF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3A0D590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2</w:t>
            </w:r>
          </w:p>
        </w:tc>
        <w:tc>
          <w:tcPr>
            <w:tcW w:w="3244" w:type="dxa"/>
            <w:vAlign w:val="center"/>
          </w:tcPr>
          <w:p w14:paraId="4C9DD9B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rPr>
              <w:t>按</w:t>
            </w:r>
            <w:r>
              <w:rPr>
                <w:rFonts w:hint="eastAsia" w:ascii="仿宋" w:hAnsi="仿宋" w:eastAsia="仿宋" w:cs="仿宋"/>
                <w:sz w:val="28"/>
                <w:szCs w:val="28"/>
                <w:lang w:val="en-US" w:eastAsia="zh-CN"/>
              </w:rPr>
              <w:t>汾阳市</w:t>
            </w:r>
            <w:r>
              <w:rPr>
                <w:rFonts w:hint="eastAsia" w:ascii="仿宋" w:hAnsi="仿宋" w:eastAsia="仿宋" w:cs="仿宋"/>
                <w:sz w:val="28"/>
                <w:szCs w:val="28"/>
              </w:rPr>
              <w:t>应急领导机构、工作机构</w:t>
            </w:r>
            <w:r>
              <w:rPr>
                <w:rFonts w:hint="eastAsia" w:ascii="仿宋" w:hAnsi="仿宋" w:eastAsia="仿宋" w:cs="仿宋"/>
                <w:sz w:val="28"/>
                <w:szCs w:val="28"/>
                <w:lang w:val="en-US" w:eastAsia="zh-CN"/>
              </w:rPr>
              <w:t>实际</w:t>
            </w:r>
            <w:r>
              <w:rPr>
                <w:rFonts w:hint="eastAsia" w:ascii="仿宋" w:hAnsi="仿宋" w:eastAsia="仿宋" w:cs="仿宋"/>
                <w:sz w:val="28"/>
                <w:szCs w:val="28"/>
              </w:rPr>
              <w:t>工作内容</w:t>
            </w:r>
            <w:r>
              <w:rPr>
                <w:rFonts w:hint="eastAsia" w:ascii="仿宋" w:hAnsi="仿宋" w:eastAsia="仿宋" w:cs="仿宋"/>
                <w:sz w:val="28"/>
                <w:szCs w:val="28"/>
                <w:lang w:eastAsia="zh-CN"/>
              </w:rPr>
              <w:t>，</w:t>
            </w:r>
            <w:r>
              <w:rPr>
                <w:rFonts w:hint="eastAsia" w:ascii="仿宋" w:hAnsi="仿宋" w:eastAsia="仿宋" w:cs="仿宋"/>
                <w:sz w:val="28"/>
                <w:szCs w:val="28"/>
              </w:rPr>
              <w:t>完善应急组织机构体系和相应</w:t>
            </w:r>
            <w:r>
              <w:rPr>
                <w:rFonts w:hint="eastAsia" w:ascii="仿宋" w:hAnsi="仿宋" w:eastAsia="仿宋" w:cs="仿宋"/>
                <w:sz w:val="28"/>
                <w:szCs w:val="28"/>
                <w:lang w:eastAsia="zh-CN"/>
              </w:rPr>
              <w:t>工作</w:t>
            </w:r>
            <w:r>
              <w:rPr>
                <w:rFonts w:hint="eastAsia" w:ascii="仿宋" w:hAnsi="仿宋" w:eastAsia="仿宋" w:cs="仿宋"/>
                <w:sz w:val="28"/>
                <w:szCs w:val="28"/>
              </w:rPr>
              <w:t>职责</w:t>
            </w:r>
            <w:r>
              <w:rPr>
                <w:rFonts w:hint="eastAsia" w:ascii="仿宋" w:hAnsi="仿宋" w:eastAsia="仿宋" w:cs="仿宋"/>
                <w:sz w:val="28"/>
                <w:szCs w:val="28"/>
                <w:lang w:eastAsia="zh-CN"/>
              </w:rPr>
              <w:t>、任务分工</w:t>
            </w:r>
          </w:p>
        </w:tc>
        <w:tc>
          <w:tcPr>
            <w:tcW w:w="3086" w:type="dxa"/>
            <w:vAlign w:val="center"/>
          </w:tcPr>
          <w:p w14:paraId="55B792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rPr>
              <w:t>按</w:t>
            </w:r>
            <w:r>
              <w:rPr>
                <w:rFonts w:hint="eastAsia" w:ascii="仿宋" w:hAnsi="仿宋" w:eastAsia="仿宋" w:cs="仿宋"/>
                <w:sz w:val="28"/>
                <w:szCs w:val="28"/>
                <w:lang w:val="en-US" w:eastAsia="zh-CN"/>
              </w:rPr>
              <w:t>汾阳市</w:t>
            </w:r>
            <w:r>
              <w:rPr>
                <w:rFonts w:hint="eastAsia" w:ascii="仿宋" w:hAnsi="仿宋" w:eastAsia="仿宋" w:cs="仿宋"/>
                <w:sz w:val="28"/>
                <w:szCs w:val="28"/>
              </w:rPr>
              <w:t>应急领导机构、工作机构</w:t>
            </w:r>
            <w:r>
              <w:rPr>
                <w:rFonts w:hint="eastAsia" w:ascii="仿宋" w:hAnsi="仿宋" w:eastAsia="仿宋" w:cs="仿宋"/>
                <w:sz w:val="28"/>
                <w:szCs w:val="28"/>
                <w:lang w:val="en-US" w:eastAsia="zh-CN"/>
              </w:rPr>
              <w:t>实际</w:t>
            </w:r>
            <w:r>
              <w:rPr>
                <w:rFonts w:hint="eastAsia" w:ascii="仿宋" w:hAnsi="仿宋" w:eastAsia="仿宋" w:cs="仿宋"/>
                <w:sz w:val="28"/>
                <w:szCs w:val="28"/>
              </w:rPr>
              <w:t>工作内容</w:t>
            </w:r>
            <w:r>
              <w:rPr>
                <w:rFonts w:hint="eastAsia" w:ascii="仿宋" w:hAnsi="仿宋" w:eastAsia="仿宋" w:cs="仿宋"/>
                <w:sz w:val="28"/>
                <w:szCs w:val="28"/>
                <w:lang w:eastAsia="zh-CN"/>
              </w:rPr>
              <w:t>，</w:t>
            </w:r>
            <w:r>
              <w:rPr>
                <w:rFonts w:hint="eastAsia" w:ascii="仿宋" w:hAnsi="仿宋" w:eastAsia="仿宋" w:cs="仿宋"/>
                <w:sz w:val="28"/>
                <w:szCs w:val="28"/>
              </w:rPr>
              <w:t>完善</w:t>
            </w:r>
            <w:r>
              <w:rPr>
                <w:rFonts w:hint="eastAsia" w:ascii="仿宋" w:hAnsi="仿宋" w:cs="仿宋"/>
                <w:sz w:val="28"/>
                <w:szCs w:val="28"/>
                <w:lang w:val="en-US" w:eastAsia="zh-CN"/>
              </w:rPr>
              <w:t>了</w:t>
            </w:r>
            <w:r>
              <w:rPr>
                <w:rFonts w:hint="eastAsia" w:ascii="仿宋" w:hAnsi="仿宋" w:eastAsia="仿宋" w:cs="仿宋"/>
                <w:sz w:val="28"/>
                <w:szCs w:val="28"/>
              </w:rPr>
              <w:t>应急组织机构体系和相应</w:t>
            </w:r>
            <w:r>
              <w:rPr>
                <w:rFonts w:hint="eastAsia" w:ascii="仿宋" w:hAnsi="仿宋" w:eastAsia="仿宋" w:cs="仿宋"/>
                <w:sz w:val="28"/>
                <w:szCs w:val="28"/>
                <w:lang w:eastAsia="zh-CN"/>
              </w:rPr>
              <w:t>工作</w:t>
            </w:r>
            <w:r>
              <w:rPr>
                <w:rFonts w:hint="eastAsia" w:ascii="仿宋" w:hAnsi="仿宋" w:eastAsia="仿宋" w:cs="仿宋"/>
                <w:sz w:val="28"/>
                <w:szCs w:val="28"/>
              </w:rPr>
              <w:t>职责</w:t>
            </w:r>
            <w:r>
              <w:rPr>
                <w:rFonts w:hint="eastAsia" w:ascii="仿宋" w:hAnsi="仿宋" w:eastAsia="仿宋" w:cs="仿宋"/>
                <w:sz w:val="28"/>
                <w:szCs w:val="28"/>
                <w:lang w:eastAsia="zh-CN"/>
              </w:rPr>
              <w:t>、任务分工</w:t>
            </w:r>
          </w:p>
        </w:tc>
        <w:tc>
          <w:tcPr>
            <w:tcW w:w="1298" w:type="dxa"/>
            <w:vAlign w:val="center"/>
          </w:tcPr>
          <w:p w14:paraId="58C85FF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见预案P18-P23</w:t>
            </w:r>
          </w:p>
        </w:tc>
      </w:tr>
      <w:tr w14:paraId="6DBA1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373DEA3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3</w:t>
            </w:r>
          </w:p>
        </w:tc>
        <w:tc>
          <w:tcPr>
            <w:tcW w:w="3244" w:type="dxa"/>
            <w:vAlign w:val="center"/>
          </w:tcPr>
          <w:p w14:paraId="5125FD6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lang w:val="en-US" w:eastAsia="zh-CN"/>
              </w:rPr>
              <w:t>完善</w:t>
            </w:r>
            <w:r>
              <w:rPr>
                <w:rFonts w:hint="eastAsia" w:ascii="仿宋" w:hAnsi="仿宋" w:eastAsia="仿宋" w:cs="仿宋"/>
                <w:sz w:val="28"/>
                <w:szCs w:val="28"/>
              </w:rPr>
              <w:t>应急监测</w:t>
            </w:r>
            <w:r>
              <w:rPr>
                <w:rFonts w:hint="eastAsia" w:ascii="仿宋" w:hAnsi="仿宋" w:eastAsia="仿宋" w:cs="仿宋"/>
                <w:sz w:val="28"/>
                <w:szCs w:val="28"/>
                <w:lang w:val="en-US" w:eastAsia="zh-CN"/>
              </w:rPr>
              <w:t>内容</w:t>
            </w:r>
            <w:r>
              <w:rPr>
                <w:rFonts w:hint="eastAsia" w:ascii="仿宋" w:hAnsi="仿宋" w:eastAsia="仿宋" w:cs="仿宋"/>
                <w:sz w:val="28"/>
                <w:szCs w:val="28"/>
              </w:rPr>
              <w:t>，</w:t>
            </w:r>
            <w:r>
              <w:rPr>
                <w:rFonts w:hint="eastAsia" w:ascii="仿宋" w:hAnsi="仿宋" w:eastAsia="仿宋" w:cs="仿宋"/>
                <w:sz w:val="28"/>
                <w:szCs w:val="28"/>
                <w:lang w:val="en-US" w:eastAsia="zh-CN"/>
              </w:rPr>
              <w:t>包括监测位置与频次、监测项目、分析方法等，明确应急监测数据的报告范围</w:t>
            </w:r>
          </w:p>
        </w:tc>
        <w:tc>
          <w:tcPr>
            <w:tcW w:w="3086" w:type="dxa"/>
            <w:vAlign w:val="center"/>
          </w:tcPr>
          <w:p w14:paraId="288387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lang w:val="en-US" w:eastAsia="zh-CN"/>
              </w:rPr>
              <w:t>完善</w:t>
            </w:r>
            <w:r>
              <w:rPr>
                <w:rFonts w:hint="eastAsia" w:ascii="仿宋" w:hAnsi="仿宋" w:eastAsia="仿宋" w:cs="仿宋"/>
                <w:sz w:val="28"/>
                <w:szCs w:val="28"/>
              </w:rPr>
              <w:t>应急监测</w:t>
            </w:r>
            <w:r>
              <w:rPr>
                <w:rFonts w:hint="eastAsia" w:ascii="仿宋" w:hAnsi="仿宋" w:eastAsia="仿宋" w:cs="仿宋"/>
                <w:sz w:val="28"/>
                <w:szCs w:val="28"/>
                <w:lang w:val="en-US" w:eastAsia="zh-CN"/>
              </w:rPr>
              <w:t>内容</w:t>
            </w:r>
            <w:r>
              <w:rPr>
                <w:rFonts w:hint="eastAsia" w:ascii="仿宋" w:hAnsi="仿宋" w:eastAsia="仿宋" w:cs="仿宋"/>
                <w:sz w:val="28"/>
                <w:szCs w:val="28"/>
              </w:rPr>
              <w:t>，</w:t>
            </w:r>
            <w:r>
              <w:rPr>
                <w:rFonts w:hint="eastAsia" w:ascii="仿宋" w:hAnsi="仿宋" w:eastAsia="仿宋" w:cs="仿宋"/>
                <w:sz w:val="28"/>
                <w:szCs w:val="28"/>
                <w:lang w:val="en-US" w:eastAsia="zh-CN"/>
              </w:rPr>
              <w:t>包括监测位置与频次、监测项目、分析方法等，明确</w:t>
            </w:r>
            <w:r>
              <w:rPr>
                <w:rFonts w:hint="eastAsia" w:ascii="仿宋" w:hAnsi="仿宋" w:cs="仿宋"/>
                <w:sz w:val="28"/>
                <w:szCs w:val="28"/>
                <w:lang w:val="en-US" w:eastAsia="zh-CN"/>
              </w:rPr>
              <w:t>了</w:t>
            </w:r>
            <w:r>
              <w:rPr>
                <w:rFonts w:hint="eastAsia" w:ascii="仿宋" w:hAnsi="仿宋" w:eastAsia="仿宋" w:cs="仿宋"/>
                <w:sz w:val="28"/>
                <w:szCs w:val="28"/>
                <w:lang w:val="en-US" w:eastAsia="zh-CN"/>
              </w:rPr>
              <w:t>应急监测数据的报告范围</w:t>
            </w:r>
          </w:p>
        </w:tc>
        <w:tc>
          <w:tcPr>
            <w:tcW w:w="1298" w:type="dxa"/>
            <w:vAlign w:val="center"/>
          </w:tcPr>
          <w:p w14:paraId="2636C52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见预案P36-P39</w:t>
            </w:r>
          </w:p>
        </w:tc>
      </w:tr>
      <w:tr w14:paraId="15A13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07663D4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4</w:t>
            </w:r>
          </w:p>
        </w:tc>
        <w:tc>
          <w:tcPr>
            <w:tcW w:w="3244" w:type="dxa"/>
            <w:vAlign w:val="center"/>
          </w:tcPr>
          <w:p w14:paraId="5AC011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rPr>
              <w:t>完善应急设备、物资的储备</w:t>
            </w:r>
            <w:r>
              <w:rPr>
                <w:rFonts w:hint="eastAsia" w:ascii="仿宋" w:hAnsi="仿宋" w:eastAsia="仿宋" w:cs="仿宋"/>
                <w:sz w:val="28"/>
                <w:szCs w:val="28"/>
                <w:lang w:val="en-US" w:eastAsia="zh-CN"/>
              </w:rPr>
              <w:t>情况调查</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明确物资储存位置，</w:t>
            </w:r>
            <w:r>
              <w:rPr>
                <w:rFonts w:hint="eastAsia" w:ascii="仿宋" w:hAnsi="仿宋" w:eastAsia="仿宋" w:cs="仿宋"/>
                <w:sz w:val="28"/>
                <w:szCs w:val="28"/>
              </w:rPr>
              <w:t>细化物资调集及应急设施启用</w:t>
            </w:r>
            <w:r>
              <w:rPr>
                <w:rFonts w:hint="eastAsia" w:ascii="仿宋" w:hAnsi="仿宋" w:eastAsia="仿宋" w:cs="仿宋"/>
                <w:sz w:val="28"/>
                <w:szCs w:val="28"/>
                <w:lang w:val="en-US" w:eastAsia="zh-CN"/>
              </w:rPr>
              <w:t>流程</w:t>
            </w:r>
          </w:p>
        </w:tc>
        <w:tc>
          <w:tcPr>
            <w:tcW w:w="3086" w:type="dxa"/>
            <w:vAlign w:val="center"/>
          </w:tcPr>
          <w:p w14:paraId="465E44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rPr>
              <w:t>完善应急设备、物资的储备</w:t>
            </w:r>
            <w:r>
              <w:rPr>
                <w:rFonts w:hint="eastAsia" w:ascii="仿宋" w:hAnsi="仿宋" w:eastAsia="仿宋" w:cs="仿宋"/>
                <w:sz w:val="28"/>
                <w:szCs w:val="28"/>
                <w:lang w:val="en-US" w:eastAsia="zh-CN"/>
              </w:rPr>
              <w:t>情况调查</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明确物资储存位置，</w:t>
            </w:r>
            <w:r>
              <w:rPr>
                <w:rFonts w:hint="eastAsia" w:ascii="仿宋" w:hAnsi="仿宋" w:eastAsia="仿宋" w:cs="仿宋"/>
                <w:sz w:val="28"/>
                <w:szCs w:val="28"/>
              </w:rPr>
              <w:t>细化物资调集及应急设施启用</w:t>
            </w:r>
            <w:r>
              <w:rPr>
                <w:rFonts w:hint="eastAsia" w:ascii="仿宋" w:hAnsi="仿宋" w:eastAsia="仿宋" w:cs="仿宋"/>
                <w:sz w:val="28"/>
                <w:szCs w:val="28"/>
                <w:lang w:val="en-US" w:eastAsia="zh-CN"/>
              </w:rPr>
              <w:t>流程</w:t>
            </w:r>
          </w:p>
        </w:tc>
        <w:tc>
          <w:tcPr>
            <w:tcW w:w="1298" w:type="dxa"/>
            <w:vAlign w:val="center"/>
          </w:tcPr>
          <w:p w14:paraId="7C398E8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见评估P91-P93</w:t>
            </w:r>
          </w:p>
        </w:tc>
      </w:tr>
      <w:tr w14:paraId="08764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0582F0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5</w:t>
            </w:r>
          </w:p>
        </w:tc>
        <w:tc>
          <w:tcPr>
            <w:tcW w:w="3244" w:type="dxa"/>
            <w:vAlign w:val="center"/>
          </w:tcPr>
          <w:p w14:paraId="5B5640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lang w:val="en-US" w:eastAsia="zh-CN"/>
              </w:rPr>
              <w:t>明确信息上报的时限和内容；补充应急演练的相关内容</w:t>
            </w:r>
          </w:p>
        </w:tc>
        <w:tc>
          <w:tcPr>
            <w:tcW w:w="3086" w:type="dxa"/>
            <w:vAlign w:val="center"/>
          </w:tcPr>
          <w:p w14:paraId="270B6B0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lang w:val="en-US" w:eastAsia="zh-CN"/>
              </w:rPr>
              <w:t>明确信息上报的时限和内容；</w:t>
            </w:r>
            <w:r>
              <w:rPr>
                <w:rFonts w:hint="eastAsia" w:ascii="仿宋" w:hAnsi="仿宋" w:cs="仿宋"/>
                <w:sz w:val="28"/>
                <w:szCs w:val="28"/>
                <w:lang w:val="en-US" w:eastAsia="zh-CN"/>
              </w:rPr>
              <w:t>已</w:t>
            </w:r>
            <w:r>
              <w:rPr>
                <w:rFonts w:hint="eastAsia" w:ascii="仿宋" w:hAnsi="仿宋" w:eastAsia="仿宋" w:cs="仿宋"/>
                <w:sz w:val="28"/>
                <w:szCs w:val="28"/>
                <w:lang w:val="en-US" w:eastAsia="zh-CN"/>
              </w:rPr>
              <w:t>补充应急演练的相关内容</w:t>
            </w:r>
          </w:p>
        </w:tc>
        <w:tc>
          <w:tcPr>
            <w:tcW w:w="1298" w:type="dxa"/>
            <w:vAlign w:val="center"/>
          </w:tcPr>
          <w:p w14:paraId="798F074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预案P35</w:t>
            </w:r>
          </w:p>
          <w:p w14:paraId="6E32DA2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预案P52-P54</w:t>
            </w:r>
          </w:p>
        </w:tc>
      </w:tr>
      <w:tr w14:paraId="28A68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4" w:type="dxa"/>
            <w:vAlign w:val="center"/>
          </w:tcPr>
          <w:p w14:paraId="42EE5C6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b w:val="0"/>
                <w:bCs/>
                <w:color w:val="000000"/>
                <w:kern w:val="0"/>
                <w:sz w:val="28"/>
                <w:szCs w:val="28"/>
                <w:vertAlign w:val="baseline"/>
                <w:lang w:val="en-US" w:eastAsia="zh-CN" w:bidi="ar"/>
              </w:rPr>
              <w:t>6</w:t>
            </w:r>
          </w:p>
        </w:tc>
        <w:tc>
          <w:tcPr>
            <w:tcW w:w="3244" w:type="dxa"/>
            <w:vAlign w:val="center"/>
          </w:tcPr>
          <w:p w14:paraId="5B3DB2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eastAsia="仿宋" w:cs="仿宋"/>
                <w:sz w:val="28"/>
                <w:szCs w:val="28"/>
              </w:rPr>
              <w:t>完善</w:t>
            </w:r>
            <w:r>
              <w:rPr>
                <w:rFonts w:hint="eastAsia" w:ascii="仿宋" w:hAnsi="仿宋" w:eastAsia="仿宋" w:cs="仿宋"/>
                <w:sz w:val="28"/>
                <w:szCs w:val="28"/>
                <w:lang w:val="en-US" w:eastAsia="zh-CN"/>
              </w:rPr>
              <w:t>相关</w:t>
            </w:r>
            <w:r>
              <w:rPr>
                <w:rFonts w:hint="eastAsia" w:ascii="仿宋" w:hAnsi="仿宋" w:eastAsia="仿宋" w:cs="仿宋"/>
                <w:sz w:val="28"/>
                <w:szCs w:val="28"/>
              </w:rPr>
              <w:t>附图与附件</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规范文本编辑</w:t>
            </w:r>
          </w:p>
        </w:tc>
        <w:tc>
          <w:tcPr>
            <w:tcW w:w="3086" w:type="dxa"/>
            <w:vAlign w:val="center"/>
          </w:tcPr>
          <w:p w14:paraId="32D01CC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color w:val="000000"/>
                <w:kern w:val="0"/>
                <w:sz w:val="28"/>
                <w:szCs w:val="28"/>
                <w:vertAlign w:val="baseline"/>
                <w:lang w:val="en-US" w:eastAsia="zh-CN" w:bidi="ar"/>
              </w:rPr>
            </w:pPr>
            <w:r>
              <w:rPr>
                <w:rFonts w:hint="eastAsia" w:ascii="仿宋" w:hAnsi="仿宋" w:cs="仿宋"/>
                <w:sz w:val="28"/>
                <w:szCs w:val="28"/>
                <w:lang w:val="en-US" w:eastAsia="zh-CN"/>
              </w:rPr>
              <w:t>已</w:t>
            </w:r>
            <w:r>
              <w:rPr>
                <w:rFonts w:hint="eastAsia" w:ascii="仿宋" w:hAnsi="仿宋" w:eastAsia="仿宋" w:cs="仿宋"/>
                <w:sz w:val="28"/>
                <w:szCs w:val="28"/>
              </w:rPr>
              <w:t>完善</w:t>
            </w:r>
            <w:r>
              <w:rPr>
                <w:rFonts w:hint="eastAsia" w:ascii="仿宋" w:hAnsi="仿宋" w:eastAsia="仿宋" w:cs="仿宋"/>
                <w:sz w:val="28"/>
                <w:szCs w:val="28"/>
                <w:lang w:val="en-US" w:eastAsia="zh-CN"/>
              </w:rPr>
              <w:t>相关</w:t>
            </w:r>
            <w:r>
              <w:rPr>
                <w:rFonts w:hint="eastAsia" w:ascii="仿宋" w:hAnsi="仿宋" w:eastAsia="仿宋" w:cs="仿宋"/>
                <w:sz w:val="28"/>
                <w:szCs w:val="28"/>
              </w:rPr>
              <w:t>附图与附件</w:t>
            </w:r>
            <w:r>
              <w:rPr>
                <w:rFonts w:hint="eastAsia" w:ascii="仿宋" w:hAnsi="仿宋" w:eastAsia="仿宋" w:cs="仿宋"/>
                <w:sz w:val="28"/>
                <w:szCs w:val="28"/>
                <w:lang w:eastAsia="zh-CN"/>
              </w:rPr>
              <w:t>；</w:t>
            </w:r>
            <w:r>
              <w:rPr>
                <w:rFonts w:hint="eastAsia" w:ascii="仿宋" w:hAnsi="仿宋" w:cs="仿宋"/>
                <w:sz w:val="28"/>
                <w:szCs w:val="28"/>
                <w:lang w:val="en-US" w:eastAsia="zh-CN"/>
              </w:rPr>
              <w:t>已</w:t>
            </w:r>
            <w:r>
              <w:rPr>
                <w:rFonts w:hint="eastAsia" w:ascii="仿宋" w:hAnsi="仿宋" w:eastAsia="仿宋" w:cs="仿宋"/>
                <w:sz w:val="28"/>
                <w:szCs w:val="28"/>
                <w:lang w:val="en-US" w:eastAsia="zh-CN"/>
              </w:rPr>
              <w:t>规范文本编辑</w:t>
            </w:r>
          </w:p>
        </w:tc>
        <w:tc>
          <w:tcPr>
            <w:tcW w:w="1298" w:type="dxa"/>
            <w:vAlign w:val="center"/>
          </w:tcPr>
          <w:p w14:paraId="31BC75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 w:hAnsi="仿宋" w:eastAsia="仿宋" w:cs="仿宋"/>
                <w:b w:val="0"/>
                <w:bCs/>
                <w:color w:val="000000"/>
                <w:kern w:val="0"/>
                <w:sz w:val="28"/>
                <w:szCs w:val="28"/>
                <w:vertAlign w:val="baseline"/>
                <w:lang w:val="en-US" w:eastAsia="zh-CN" w:bidi="ar"/>
              </w:rPr>
            </w:pPr>
            <w:r>
              <w:rPr>
                <w:rFonts w:hint="eastAsia" w:ascii="仿宋" w:hAnsi="仿宋" w:cs="仿宋"/>
                <w:b w:val="0"/>
                <w:bCs/>
                <w:color w:val="000000"/>
                <w:kern w:val="0"/>
                <w:sz w:val="28"/>
                <w:szCs w:val="28"/>
                <w:vertAlign w:val="baseline"/>
                <w:lang w:val="en-US" w:eastAsia="zh-CN" w:bidi="ar"/>
              </w:rPr>
              <w:t>见评估、预案全文及附图附件</w:t>
            </w:r>
          </w:p>
        </w:tc>
      </w:tr>
    </w:tbl>
    <w:p w14:paraId="3D3D9254">
      <w:pPr>
        <w:keepNext w:val="0"/>
        <w:keepLines w:val="0"/>
        <w:pageBreakBefore w:val="0"/>
        <w:widowControl/>
        <w:suppressLineNumbers w:val="0"/>
        <w:kinsoku/>
        <w:wordWrap/>
        <w:overflowPunct/>
        <w:topLinePunct w:val="0"/>
        <w:autoSpaceDE/>
        <w:autoSpaceDN/>
        <w:bidi w:val="0"/>
        <w:adjustRightInd/>
        <w:snapToGrid/>
        <w:spacing w:after="313" w:afterLines="100" w:line="360" w:lineRule="auto"/>
        <w:ind w:left="0" w:leftChars="0" w:firstLine="0" w:firstLineChars="0"/>
        <w:jc w:val="left"/>
        <w:textAlignment w:val="auto"/>
        <w:rPr>
          <w:rFonts w:hint="eastAsia" w:ascii="仿宋" w:hAnsi="仿宋" w:eastAsia="仿宋" w:cs="仿宋"/>
          <w:sz w:val="36"/>
          <w:szCs w:val="36"/>
          <w:lang w:val="en-US"/>
        </w:rPr>
      </w:pPr>
      <w:r>
        <w:rPr>
          <w:rFonts w:hint="eastAsia" w:ascii="仿宋" w:hAnsi="仿宋" w:cs="仿宋"/>
          <w:b/>
          <w:color w:val="000000"/>
          <w:kern w:val="0"/>
          <w:sz w:val="36"/>
          <w:szCs w:val="36"/>
          <w:lang w:val="en-US" w:eastAsia="zh-CN" w:bidi="ar"/>
        </w:rPr>
        <w:t xml:space="preserve"> </w:t>
      </w:r>
    </w:p>
    <w:p w14:paraId="5C8C8A90">
      <w:pPr>
        <w:keepNext w:val="0"/>
        <w:keepLines w:val="0"/>
        <w:pageBreakBefore w:val="0"/>
        <w:widowControl/>
        <w:suppressLineNumbers w:val="0"/>
        <w:kinsoku/>
        <w:wordWrap/>
        <w:overflowPunct/>
        <w:topLinePunct w:val="0"/>
        <w:autoSpaceDE/>
        <w:autoSpaceDN/>
        <w:bidi w:val="0"/>
        <w:adjustRightInd w:val="0"/>
        <w:snapToGrid w:val="0"/>
        <w:spacing w:line="480" w:lineRule="auto"/>
        <w:ind w:right="0" w:firstLine="720" w:firstLineChars="200"/>
        <w:jc w:val="both"/>
        <w:textAlignment w:val="auto"/>
        <w:rPr>
          <w:rFonts w:hint="eastAsia" w:ascii="仿宋" w:hAnsi="仿宋" w:eastAsia="仿宋" w:cs="仿宋"/>
          <w:sz w:val="36"/>
          <w:szCs w:val="36"/>
          <w:lang w:val="en-US"/>
        </w:rPr>
      </w:pPr>
      <w:r>
        <w:rPr>
          <w:rFonts w:hint="eastAsia" w:ascii="仿宋" w:hAnsi="仿宋" w:eastAsia="仿宋" w:cs="仿宋"/>
          <w:color w:val="000000"/>
          <w:kern w:val="0"/>
          <w:sz w:val="36"/>
          <w:szCs w:val="36"/>
          <w:lang w:val="en-US" w:eastAsia="zh-CN" w:bidi="ar"/>
        </w:rPr>
        <w:t xml:space="preserve"> </w:t>
      </w:r>
    </w:p>
    <w:p w14:paraId="05379FCA">
      <w:pPr>
        <w:rPr>
          <w:rFonts w:hint="eastAsia" w:ascii="仿宋" w:hAnsi="仿宋" w:eastAsia="仿宋" w:cs="仿宋"/>
          <w:b/>
          <w:bCs/>
          <w:color w:val="auto"/>
          <w:sz w:val="36"/>
          <w:szCs w:val="32"/>
          <w:lang w:val="en-US" w:eastAsia="zh-CN"/>
        </w:rPr>
      </w:pPr>
      <w:r>
        <w:rPr>
          <w:rFonts w:hint="eastAsia" w:ascii="仿宋" w:hAnsi="仿宋" w:eastAsia="仿宋" w:cs="仿宋"/>
          <w:b/>
          <w:bCs/>
          <w:color w:val="auto"/>
          <w:sz w:val="36"/>
          <w:szCs w:val="32"/>
          <w:lang w:val="en-US" w:eastAsia="zh-CN"/>
        </w:rPr>
        <w:br w:type="page"/>
      </w:r>
    </w:p>
    <w:sdt>
      <w:sdtPr>
        <w:rPr>
          <w:rFonts w:hint="eastAsia" w:ascii="仿宋" w:hAnsi="仿宋" w:eastAsia="仿宋" w:cs="仿宋"/>
          <w:b/>
          <w:bCs/>
          <w:color w:val="000000"/>
          <w:kern w:val="2"/>
          <w:sz w:val="30"/>
          <w:szCs w:val="30"/>
          <w:lang w:val="zh-CN" w:eastAsia="zh-CN" w:bidi="zh-CN"/>
        </w:rPr>
        <w:id w:val="147454722"/>
        <w15:color w:val="DBDBDB"/>
        <w:docPartObj>
          <w:docPartGallery w:val="Table of Contents"/>
          <w:docPartUnique/>
        </w:docPartObj>
      </w:sdtPr>
      <w:sdtEndPr>
        <w:rPr>
          <w:rFonts w:hint="default" w:ascii="Times New Roman" w:hAnsi="Times New Roman" w:eastAsia="仿宋" w:cs="微软雅黑"/>
          <w:b/>
          <w:bCs/>
          <w:color w:val="000000"/>
          <w:kern w:val="2"/>
          <w:sz w:val="36"/>
          <w:szCs w:val="24"/>
          <w:lang w:val="en-US" w:eastAsia="zh-CN" w:bidi="ar-SA"/>
        </w:rPr>
      </w:sdtEndPr>
      <w:sdtContent>
        <w:p w14:paraId="4FDDA278">
          <w:pPr>
            <w:spacing w:before="0" w:beforeLines="0" w:after="0" w:afterLines="0" w:line="240" w:lineRule="auto"/>
            <w:ind w:left="0" w:leftChars="0" w:right="0" w:rightChars="0" w:firstLine="0" w:firstLineChars="0"/>
            <w:jc w:val="center"/>
            <w:rPr>
              <w:rFonts w:hint="eastAsia" w:ascii="仿宋" w:hAnsi="仿宋" w:eastAsia="仿宋" w:cs="仿宋"/>
              <w:b/>
              <w:bCs/>
              <w:sz w:val="30"/>
              <w:szCs w:val="30"/>
            </w:rPr>
          </w:pPr>
          <w:r>
            <w:rPr>
              <w:rFonts w:hint="eastAsia" w:ascii="仿宋" w:hAnsi="仿宋" w:eastAsia="仿宋" w:cs="仿宋"/>
              <w:b/>
              <w:bCs/>
              <w:sz w:val="30"/>
              <w:szCs w:val="30"/>
            </w:rPr>
            <w:t>目录</w:t>
          </w:r>
        </w:p>
        <w:p w14:paraId="7F24A2A1">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TOC \o "1-3" \h \u </w:instrText>
          </w:r>
          <w:r>
            <w:rPr>
              <w:rFonts w:hint="default"/>
            </w:rPr>
            <w:fldChar w:fldCharType="separate"/>
          </w:r>
          <w:r>
            <w:rPr>
              <w:rFonts w:hint="default"/>
            </w:rPr>
            <w:fldChar w:fldCharType="begin"/>
          </w:r>
          <w:r>
            <w:rPr>
              <w:rFonts w:hint="default"/>
            </w:rPr>
            <w:instrText xml:space="preserve"> HYPERLINK \l _Toc9233 </w:instrText>
          </w:r>
          <w:r>
            <w:rPr>
              <w:rFonts w:hint="default"/>
            </w:rPr>
            <w:fldChar w:fldCharType="separate"/>
          </w:r>
          <w:r>
            <w:rPr>
              <w:rFonts w:hint="default"/>
            </w:rPr>
            <w:t>第一章</w:t>
          </w:r>
          <w:r>
            <w:rPr>
              <w:rFonts w:hint="default"/>
              <w:lang w:val="en-US" w:eastAsia="zh-CN"/>
            </w:rPr>
            <w:t xml:space="preserve"> </w:t>
          </w:r>
          <w:r>
            <w:rPr>
              <w:rFonts w:hint="default"/>
            </w:rPr>
            <w:t>总则</w:t>
          </w:r>
          <w:r>
            <w:tab/>
          </w:r>
          <w:r>
            <w:fldChar w:fldCharType="begin"/>
          </w:r>
          <w:r>
            <w:instrText xml:space="preserve"> PAGEREF _Toc9233 \h </w:instrText>
          </w:r>
          <w:r>
            <w:fldChar w:fldCharType="separate"/>
          </w:r>
          <w:r>
            <w:t>1</w:t>
          </w:r>
          <w:r>
            <w:fldChar w:fldCharType="end"/>
          </w:r>
          <w:r>
            <w:rPr>
              <w:rFonts w:hint="default"/>
            </w:rPr>
            <w:fldChar w:fldCharType="end"/>
          </w:r>
        </w:p>
        <w:p w14:paraId="131CCDE1">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_Toc19739 </w:instrText>
          </w:r>
          <w:r>
            <w:rPr>
              <w:rFonts w:hint="default"/>
            </w:rPr>
            <w:fldChar w:fldCharType="separate"/>
          </w:r>
          <w:r>
            <w:rPr>
              <w:rFonts w:hint="default"/>
            </w:rPr>
            <w:t>1.1 编制目的</w:t>
          </w:r>
          <w:r>
            <w:tab/>
          </w:r>
          <w:r>
            <w:fldChar w:fldCharType="begin"/>
          </w:r>
          <w:r>
            <w:instrText xml:space="preserve"> PAGEREF _Toc19739 \h </w:instrText>
          </w:r>
          <w:r>
            <w:fldChar w:fldCharType="separate"/>
          </w:r>
          <w:r>
            <w:t>1</w:t>
          </w:r>
          <w:r>
            <w:fldChar w:fldCharType="end"/>
          </w:r>
          <w:r>
            <w:rPr>
              <w:rFonts w:hint="default"/>
            </w:rPr>
            <w:fldChar w:fldCharType="end"/>
          </w:r>
        </w:p>
        <w:p w14:paraId="412CB832">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_Toc19959 </w:instrText>
          </w:r>
          <w:r>
            <w:rPr>
              <w:rFonts w:hint="default"/>
            </w:rPr>
            <w:fldChar w:fldCharType="separate"/>
          </w:r>
          <w:r>
            <w:rPr>
              <w:rFonts w:hint="default"/>
            </w:rPr>
            <w:t>1.2 编制依据</w:t>
          </w:r>
          <w:r>
            <w:tab/>
          </w:r>
          <w:r>
            <w:fldChar w:fldCharType="begin"/>
          </w:r>
          <w:r>
            <w:instrText xml:space="preserve"> PAGEREF _Toc19959 \h </w:instrText>
          </w:r>
          <w:r>
            <w:fldChar w:fldCharType="separate"/>
          </w:r>
          <w:r>
            <w:t>1</w:t>
          </w:r>
          <w:r>
            <w:fldChar w:fldCharType="end"/>
          </w:r>
          <w:r>
            <w:rPr>
              <w:rFonts w:hint="default"/>
            </w:rPr>
            <w:fldChar w:fldCharType="end"/>
          </w:r>
        </w:p>
        <w:p w14:paraId="7D80F36A">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_Toc30952 </w:instrText>
          </w:r>
          <w:r>
            <w:rPr>
              <w:rFonts w:hint="default"/>
            </w:rPr>
            <w:fldChar w:fldCharType="separate"/>
          </w:r>
          <w:r>
            <w:rPr>
              <w:rFonts w:hint="default"/>
            </w:rPr>
            <w:t>1.2.1 相关法律法规</w:t>
          </w:r>
          <w:r>
            <w:tab/>
          </w:r>
          <w:r>
            <w:fldChar w:fldCharType="begin"/>
          </w:r>
          <w:r>
            <w:instrText xml:space="preserve"> PAGEREF _Toc30952 \h </w:instrText>
          </w:r>
          <w:r>
            <w:fldChar w:fldCharType="separate"/>
          </w:r>
          <w:r>
            <w:t>1</w:t>
          </w:r>
          <w:r>
            <w:fldChar w:fldCharType="end"/>
          </w:r>
          <w:r>
            <w:rPr>
              <w:rFonts w:hint="default"/>
            </w:rPr>
            <w:fldChar w:fldCharType="end"/>
          </w:r>
        </w:p>
        <w:p w14:paraId="6B5EBE81">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_Toc19259 </w:instrText>
          </w:r>
          <w:r>
            <w:rPr>
              <w:rFonts w:hint="default"/>
            </w:rPr>
            <w:fldChar w:fldCharType="separate"/>
          </w:r>
          <w:r>
            <w:rPr>
              <w:rFonts w:hint="default"/>
              <w:lang w:val="en-US" w:eastAsia="zh-CN"/>
            </w:rPr>
            <w:t>1.2.2相关标准规范和文件</w:t>
          </w:r>
          <w:r>
            <w:tab/>
          </w:r>
          <w:r>
            <w:fldChar w:fldCharType="begin"/>
          </w:r>
          <w:r>
            <w:instrText xml:space="preserve"> PAGEREF _Toc19259 \h </w:instrText>
          </w:r>
          <w:r>
            <w:fldChar w:fldCharType="separate"/>
          </w:r>
          <w:r>
            <w:t>2</w:t>
          </w:r>
          <w:r>
            <w:fldChar w:fldCharType="end"/>
          </w:r>
          <w:r>
            <w:rPr>
              <w:rFonts w:hint="default"/>
            </w:rPr>
            <w:fldChar w:fldCharType="end"/>
          </w:r>
        </w:p>
        <w:p w14:paraId="398E4103">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_Toc1983 </w:instrText>
          </w:r>
          <w:r>
            <w:rPr>
              <w:rFonts w:hint="default"/>
            </w:rPr>
            <w:fldChar w:fldCharType="separate"/>
          </w:r>
          <w:r>
            <w:rPr>
              <w:rFonts w:hint="default"/>
              <w:lang w:val="en-US" w:eastAsia="zh-CN"/>
            </w:rPr>
            <w:t>1.2.3 其他技术资料</w:t>
          </w:r>
          <w:r>
            <w:tab/>
          </w:r>
          <w:r>
            <w:fldChar w:fldCharType="begin"/>
          </w:r>
          <w:r>
            <w:instrText xml:space="preserve"> PAGEREF _Toc1983 \h </w:instrText>
          </w:r>
          <w:r>
            <w:fldChar w:fldCharType="separate"/>
          </w:r>
          <w:r>
            <w:t>3</w:t>
          </w:r>
          <w:r>
            <w:fldChar w:fldCharType="end"/>
          </w:r>
          <w:r>
            <w:rPr>
              <w:rFonts w:hint="default"/>
            </w:rPr>
            <w:fldChar w:fldCharType="end"/>
          </w:r>
        </w:p>
        <w:p w14:paraId="6F384D69">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_Toc28908 </w:instrText>
          </w:r>
          <w:r>
            <w:rPr>
              <w:rFonts w:hint="default"/>
            </w:rPr>
            <w:fldChar w:fldCharType="separate"/>
          </w:r>
          <w:r>
            <w:rPr>
              <w:rFonts w:hint="default"/>
              <w:lang w:val="en-US" w:eastAsia="zh-CN"/>
            </w:rPr>
            <w:t>1.3 预案衔接</w:t>
          </w:r>
          <w:r>
            <w:tab/>
          </w:r>
          <w:r>
            <w:fldChar w:fldCharType="begin"/>
          </w:r>
          <w:r>
            <w:instrText xml:space="preserve"> PAGEREF _Toc28908 \h </w:instrText>
          </w:r>
          <w:r>
            <w:fldChar w:fldCharType="separate"/>
          </w:r>
          <w:r>
            <w:t>3</w:t>
          </w:r>
          <w:r>
            <w:fldChar w:fldCharType="end"/>
          </w:r>
          <w:r>
            <w:rPr>
              <w:rFonts w:hint="default"/>
            </w:rPr>
            <w:fldChar w:fldCharType="end"/>
          </w:r>
        </w:p>
        <w:p w14:paraId="67C9986A">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_Toc28069 </w:instrText>
          </w:r>
          <w:r>
            <w:rPr>
              <w:rFonts w:hint="default"/>
            </w:rPr>
            <w:fldChar w:fldCharType="separate"/>
          </w:r>
          <w:r>
            <w:rPr>
              <w:rFonts w:hint="default"/>
              <w:lang w:val="en-US" w:eastAsia="zh-CN"/>
            </w:rPr>
            <w:t>1.4适用范围</w:t>
          </w:r>
          <w:r>
            <w:tab/>
          </w:r>
          <w:r>
            <w:fldChar w:fldCharType="begin"/>
          </w:r>
          <w:r>
            <w:instrText xml:space="preserve"> PAGEREF _Toc28069 \h </w:instrText>
          </w:r>
          <w:r>
            <w:fldChar w:fldCharType="separate"/>
          </w:r>
          <w:r>
            <w:t>4</w:t>
          </w:r>
          <w:r>
            <w:fldChar w:fldCharType="end"/>
          </w:r>
          <w:r>
            <w:rPr>
              <w:rFonts w:hint="default"/>
            </w:rPr>
            <w:fldChar w:fldCharType="end"/>
          </w:r>
        </w:p>
        <w:p w14:paraId="5B628D3B">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_Toc20840 </w:instrText>
          </w:r>
          <w:r>
            <w:rPr>
              <w:rFonts w:hint="default"/>
            </w:rPr>
            <w:fldChar w:fldCharType="separate"/>
          </w:r>
          <w:r>
            <w:rPr>
              <w:rFonts w:hint="default"/>
            </w:rPr>
            <w:t>1.</w:t>
          </w:r>
          <w:r>
            <w:rPr>
              <w:rFonts w:hint="default"/>
              <w:lang w:val="en-US" w:eastAsia="zh-CN"/>
            </w:rPr>
            <w:t>5</w:t>
          </w:r>
          <w:r>
            <w:rPr>
              <w:rFonts w:hint="default"/>
            </w:rPr>
            <w:t xml:space="preserve"> 工作原则</w:t>
          </w:r>
          <w:r>
            <w:tab/>
          </w:r>
          <w:r>
            <w:fldChar w:fldCharType="begin"/>
          </w:r>
          <w:r>
            <w:instrText xml:space="preserve"> PAGEREF _Toc20840 \h </w:instrText>
          </w:r>
          <w:r>
            <w:fldChar w:fldCharType="separate"/>
          </w:r>
          <w:r>
            <w:t>4</w:t>
          </w:r>
          <w:r>
            <w:fldChar w:fldCharType="end"/>
          </w:r>
          <w:r>
            <w:rPr>
              <w:rFonts w:hint="default"/>
            </w:rPr>
            <w:fldChar w:fldCharType="end"/>
          </w:r>
        </w:p>
        <w:p w14:paraId="6969DAEE">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_Toc20552 </w:instrText>
          </w:r>
          <w:r>
            <w:rPr>
              <w:rFonts w:hint="default"/>
            </w:rPr>
            <w:fldChar w:fldCharType="separate"/>
          </w:r>
          <w:r>
            <w:rPr>
              <w:rFonts w:hint="default"/>
            </w:rPr>
            <w:t>第二章 饮用水水源概况</w:t>
          </w:r>
          <w:r>
            <w:tab/>
          </w:r>
          <w:r>
            <w:fldChar w:fldCharType="begin"/>
          </w:r>
          <w:r>
            <w:instrText xml:space="preserve"> PAGEREF _Toc20552 \h </w:instrText>
          </w:r>
          <w:r>
            <w:fldChar w:fldCharType="separate"/>
          </w:r>
          <w:r>
            <w:t>5</w:t>
          </w:r>
          <w:r>
            <w:fldChar w:fldCharType="end"/>
          </w:r>
          <w:r>
            <w:rPr>
              <w:rFonts w:hint="default"/>
            </w:rPr>
            <w:fldChar w:fldCharType="end"/>
          </w:r>
        </w:p>
        <w:p w14:paraId="49E103D5">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_Toc28000 </w:instrText>
          </w:r>
          <w:r>
            <w:rPr>
              <w:rFonts w:hint="default"/>
            </w:rPr>
            <w:fldChar w:fldCharType="separate"/>
          </w:r>
          <w:r>
            <w:rPr>
              <w:rFonts w:hint="default"/>
            </w:rPr>
            <w:t>2.1 水源建设工程概况</w:t>
          </w:r>
          <w:r>
            <w:tab/>
          </w:r>
          <w:r>
            <w:fldChar w:fldCharType="begin"/>
          </w:r>
          <w:r>
            <w:instrText xml:space="preserve"> PAGEREF _Toc28000 \h </w:instrText>
          </w:r>
          <w:r>
            <w:fldChar w:fldCharType="separate"/>
          </w:r>
          <w:r>
            <w:t>5</w:t>
          </w:r>
          <w:r>
            <w:fldChar w:fldCharType="end"/>
          </w:r>
          <w:r>
            <w:rPr>
              <w:rFonts w:hint="default"/>
            </w:rPr>
            <w:fldChar w:fldCharType="end"/>
          </w:r>
        </w:p>
        <w:p w14:paraId="0799D590">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_Toc16481 </w:instrText>
          </w:r>
          <w:r>
            <w:rPr>
              <w:rFonts w:hint="default"/>
            </w:rPr>
            <w:fldChar w:fldCharType="separate"/>
          </w:r>
          <w:r>
            <w:rPr>
              <w:rFonts w:hint="default"/>
            </w:rPr>
            <w:t>2.2 水源保护区划分结果</w:t>
          </w:r>
          <w:r>
            <w:tab/>
          </w:r>
          <w:r>
            <w:fldChar w:fldCharType="begin"/>
          </w:r>
          <w:r>
            <w:instrText xml:space="preserve"> PAGEREF _Toc16481 \h </w:instrText>
          </w:r>
          <w:r>
            <w:fldChar w:fldCharType="separate"/>
          </w:r>
          <w:r>
            <w:t>15</w:t>
          </w:r>
          <w:r>
            <w:fldChar w:fldCharType="end"/>
          </w:r>
          <w:r>
            <w:rPr>
              <w:rFonts w:hint="default"/>
            </w:rPr>
            <w:fldChar w:fldCharType="end"/>
          </w:r>
        </w:p>
        <w:p w14:paraId="1C4596C3">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_Toc8752 </w:instrText>
          </w:r>
          <w:r>
            <w:rPr>
              <w:rFonts w:hint="default"/>
            </w:rPr>
            <w:fldChar w:fldCharType="separate"/>
          </w:r>
          <w:r>
            <w:rPr>
              <w:rFonts w:hint="default"/>
            </w:rPr>
            <w:t>第三章</w:t>
          </w:r>
          <w:r>
            <w:rPr>
              <w:rFonts w:hint="default"/>
              <w:lang w:val="en-US" w:eastAsia="zh-CN"/>
            </w:rPr>
            <w:t xml:space="preserve"> </w:t>
          </w:r>
          <w:r>
            <w:rPr>
              <w:rFonts w:hint="default"/>
            </w:rPr>
            <w:t>应急组织指挥体系</w:t>
          </w:r>
          <w:r>
            <w:tab/>
          </w:r>
          <w:r>
            <w:fldChar w:fldCharType="begin"/>
          </w:r>
          <w:r>
            <w:instrText xml:space="preserve"> PAGEREF _Toc8752 \h </w:instrText>
          </w:r>
          <w:r>
            <w:fldChar w:fldCharType="separate"/>
          </w:r>
          <w:r>
            <w:t>18</w:t>
          </w:r>
          <w:r>
            <w:fldChar w:fldCharType="end"/>
          </w:r>
          <w:r>
            <w:rPr>
              <w:rFonts w:hint="default"/>
            </w:rPr>
            <w:fldChar w:fldCharType="end"/>
          </w:r>
        </w:p>
        <w:p w14:paraId="747686FD">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_Toc8001 </w:instrText>
          </w:r>
          <w:r>
            <w:rPr>
              <w:rFonts w:hint="default"/>
            </w:rPr>
            <w:fldChar w:fldCharType="separate"/>
          </w:r>
          <w:r>
            <w:rPr>
              <w:rFonts w:hint="default"/>
            </w:rPr>
            <w:t>3.1 应急组织指挥体系</w:t>
          </w:r>
          <w:r>
            <w:tab/>
          </w:r>
          <w:r>
            <w:fldChar w:fldCharType="begin"/>
          </w:r>
          <w:r>
            <w:instrText xml:space="preserve"> PAGEREF _Toc8001 \h </w:instrText>
          </w:r>
          <w:r>
            <w:fldChar w:fldCharType="separate"/>
          </w:r>
          <w:r>
            <w:t>18</w:t>
          </w:r>
          <w:r>
            <w:fldChar w:fldCharType="end"/>
          </w:r>
          <w:r>
            <w:rPr>
              <w:rFonts w:hint="default"/>
            </w:rPr>
            <w:fldChar w:fldCharType="end"/>
          </w:r>
        </w:p>
        <w:p w14:paraId="3C8D5B09">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_Toc26558 </w:instrText>
          </w:r>
          <w:r>
            <w:rPr>
              <w:rFonts w:hint="default"/>
            </w:rPr>
            <w:fldChar w:fldCharType="separate"/>
          </w:r>
          <w:r>
            <w:rPr>
              <w:rFonts w:hint="default"/>
            </w:rPr>
            <w:t>3.2 应急组织指挥部</w:t>
          </w:r>
          <w:r>
            <w:tab/>
          </w:r>
          <w:r>
            <w:fldChar w:fldCharType="begin"/>
          </w:r>
          <w:r>
            <w:instrText xml:space="preserve"> PAGEREF _Toc26558 \h </w:instrText>
          </w:r>
          <w:r>
            <w:fldChar w:fldCharType="separate"/>
          </w:r>
          <w:r>
            <w:t>18</w:t>
          </w:r>
          <w:r>
            <w:fldChar w:fldCharType="end"/>
          </w:r>
          <w:r>
            <w:rPr>
              <w:rFonts w:hint="default"/>
            </w:rPr>
            <w:fldChar w:fldCharType="end"/>
          </w:r>
        </w:p>
        <w:p w14:paraId="30F03355">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_Toc6568 </w:instrText>
          </w:r>
          <w:r>
            <w:rPr>
              <w:rFonts w:hint="default"/>
            </w:rPr>
            <w:fldChar w:fldCharType="separate"/>
          </w:r>
          <w:r>
            <w:rPr>
              <w:rFonts w:hint="default"/>
            </w:rPr>
            <w:t>3.3 现场应急指挥部</w:t>
          </w:r>
          <w:r>
            <w:tab/>
          </w:r>
          <w:r>
            <w:fldChar w:fldCharType="begin"/>
          </w:r>
          <w:r>
            <w:instrText xml:space="preserve"> PAGEREF _Toc6568 \h </w:instrText>
          </w:r>
          <w:r>
            <w:fldChar w:fldCharType="separate"/>
          </w:r>
          <w:r>
            <w:t>24</w:t>
          </w:r>
          <w:r>
            <w:fldChar w:fldCharType="end"/>
          </w:r>
          <w:r>
            <w:rPr>
              <w:rFonts w:hint="default"/>
            </w:rPr>
            <w:fldChar w:fldCharType="end"/>
          </w:r>
        </w:p>
        <w:p w14:paraId="395C7051">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_Toc17016 </w:instrText>
          </w:r>
          <w:r>
            <w:rPr>
              <w:rFonts w:hint="default"/>
            </w:rPr>
            <w:fldChar w:fldCharType="separate"/>
          </w:r>
          <w:r>
            <w:rPr>
              <w:rFonts w:hint="default"/>
            </w:rPr>
            <w:t>3.4 现场应急工作组</w:t>
          </w:r>
          <w:r>
            <w:tab/>
          </w:r>
          <w:r>
            <w:fldChar w:fldCharType="begin"/>
          </w:r>
          <w:r>
            <w:instrText xml:space="preserve"> PAGEREF _Toc17016 \h </w:instrText>
          </w:r>
          <w:r>
            <w:fldChar w:fldCharType="separate"/>
          </w:r>
          <w:r>
            <w:t>25</w:t>
          </w:r>
          <w:r>
            <w:fldChar w:fldCharType="end"/>
          </w:r>
          <w:r>
            <w:rPr>
              <w:rFonts w:hint="default"/>
            </w:rPr>
            <w:fldChar w:fldCharType="end"/>
          </w:r>
        </w:p>
        <w:p w14:paraId="5ED0F6B8">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_Toc10830 </w:instrText>
          </w:r>
          <w:r>
            <w:rPr>
              <w:rFonts w:hint="default"/>
            </w:rPr>
            <w:fldChar w:fldCharType="separate"/>
          </w:r>
          <w:r>
            <w:rPr>
              <w:rFonts w:hint="default"/>
            </w:rPr>
            <w:t>第</w:t>
          </w:r>
          <w:r>
            <w:rPr>
              <w:rFonts w:hint="default"/>
              <w:lang w:val="en-US" w:eastAsia="zh-CN"/>
            </w:rPr>
            <w:t>四</w:t>
          </w:r>
          <w:r>
            <w:rPr>
              <w:rFonts w:hint="default"/>
            </w:rPr>
            <w:t>章</w:t>
          </w:r>
          <w:r>
            <w:rPr>
              <w:rFonts w:hint="default"/>
              <w:lang w:val="en-US" w:eastAsia="zh-CN"/>
            </w:rPr>
            <w:t xml:space="preserve"> </w:t>
          </w:r>
          <w:r>
            <w:rPr>
              <w:rFonts w:hint="default"/>
            </w:rPr>
            <w:t>应急响应</w:t>
          </w:r>
          <w:r>
            <w:tab/>
          </w:r>
          <w:r>
            <w:fldChar w:fldCharType="begin"/>
          </w:r>
          <w:r>
            <w:instrText xml:space="preserve"> PAGEREF _Toc10830 \h </w:instrText>
          </w:r>
          <w:r>
            <w:fldChar w:fldCharType="separate"/>
          </w:r>
          <w:r>
            <w:t>28</w:t>
          </w:r>
          <w:r>
            <w:fldChar w:fldCharType="end"/>
          </w:r>
          <w:r>
            <w:rPr>
              <w:rFonts w:hint="default"/>
            </w:rPr>
            <w:fldChar w:fldCharType="end"/>
          </w:r>
        </w:p>
        <w:p w14:paraId="396127D2">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_Toc12848 </w:instrText>
          </w:r>
          <w:r>
            <w:rPr>
              <w:rFonts w:hint="default"/>
            </w:rPr>
            <w:fldChar w:fldCharType="separate"/>
          </w:r>
          <w:r>
            <w:rPr>
              <w:rFonts w:hint="default"/>
            </w:rPr>
            <w:t>4.1 预防</w:t>
          </w:r>
          <w:r>
            <w:tab/>
          </w:r>
          <w:r>
            <w:fldChar w:fldCharType="begin"/>
          </w:r>
          <w:r>
            <w:instrText xml:space="preserve"> PAGEREF _Toc12848 \h </w:instrText>
          </w:r>
          <w:r>
            <w:fldChar w:fldCharType="separate"/>
          </w:r>
          <w:r>
            <w:t>28</w:t>
          </w:r>
          <w:r>
            <w:fldChar w:fldCharType="end"/>
          </w:r>
          <w:r>
            <w:rPr>
              <w:rFonts w:hint="default"/>
            </w:rPr>
            <w:fldChar w:fldCharType="end"/>
          </w:r>
        </w:p>
        <w:p w14:paraId="6A26AE16">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_Toc27082 </w:instrText>
          </w:r>
          <w:r>
            <w:rPr>
              <w:rFonts w:hint="default"/>
            </w:rPr>
            <w:fldChar w:fldCharType="separate"/>
          </w:r>
          <w:r>
            <w:rPr>
              <w:rFonts w:hint="default"/>
              <w:lang w:val="en-US" w:eastAsia="zh-CN"/>
            </w:rPr>
            <w:t>4.2</w:t>
          </w:r>
          <w:r>
            <w:rPr>
              <w:rFonts w:hint="default"/>
            </w:rPr>
            <w:t>应急响应工作路线</w:t>
          </w:r>
          <w:r>
            <w:tab/>
          </w:r>
          <w:r>
            <w:fldChar w:fldCharType="begin"/>
          </w:r>
          <w:r>
            <w:instrText xml:space="preserve"> PAGEREF _Toc27082 \h </w:instrText>
          </w:r>
          <w:r>
            <w:fldChar w:fldCharType="separate"/>
          </w:r>
          <w:r>
            <w:t>29</w:t>
          </w:r>
          <w:r>
            <w:fldChar w:fldCharType="end"/>
          </w:r>
          <w:r>
            <w:rPr>
              <w:rFonts w:hint="default"/>
            </w:rPr>
            <w:fldChar w:fldCharType="end"/>
          </w:r>
        </w:p>
        <w:p w14:paraId="1FA4203B">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_Toc27878 </w:instrText>
          </w:r>
          <w:r>
            <w:rPr>
              <w:rFonts w:hint="default"/>
            </w:rPr>
            <w:fldChar w:fldCharType="separate"/>
          </w:r>
          <w:r>
            <w:rPr>
              <w:rFonts w:hint="default"/>
              <w:lang w:val="en-US" w:eastAsia="zh-CN"/>
            </w:rPr>
            <w:t>4.3</w:t>
          </w:r>
          <w:r>
            <w:rPr>
              <w:rFonts w:hint="default"/>
            </w:rPr>
            <w:t>信息收集和研判</w:t>
          </w:r>
          <w:r>
            <w:tab/>
          </w:r>
          <w:r>
            <w:fldChar w:fldCharType="begin"/>
          </w:r>
          <w:r>
            <w:instrText xml:space="preserve"> PAGEREF _Toc27878 \h </w:instrText>
          </w:r>
          <w:r>
            <w:fldChar w:fldCharType="separate"/>
          </w:r>
          <w:r>
            <w:t>30</w:t>
          </w:r>
          <w:r>
            <w:fldChar w:fldCharType="end"/>
          </w:r>
          <w:r>
            <w:rPr>
              <w:rFonts w:hint="default"/>
            </w:rPr>
            <w:fldChar w:fldCharType="end"/>
          </w:r>
        </w:p>
        <w:p w14:paraId="15230FAF">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_Toc24263 </w:instrText>
          </w:r>
          <w:r>
            <w:rPr>
              <w:rFonts w:hint="default"/>
            </w:rPr>
            <w:fldChar w:fldCharType="separate"/>
          </w:r>
          <w:r>
            <w:rPr>
              <w:rFonts w:hint="default"/>
            </w:rPr>
            <w:t>4.3.1 信息收集</w:t>
          </w:r>
          <w:r>
            <w:tab/>
          </w:r>
          <w:r>
            <w:fldChar w:fldCharType="begin"/>
          </w:r>
          <w:r>
            <w:instrText xml:space="preserve"> PAGEREF _Toc24263 \h </w:instrText>
          </w:r>
          <w:r>
            <w:fldChar w:fldCharType="separate"/>
          </w:r>
          <w:r>
            <w:t>30</w:t>
          </w:r>
          <w:r>
            <w:fldChar w:fldCharType="end"/>
          </w:r>
          <w:r>
            <w:rPr>
              <w:rFonts w:hint="default"/>
            </w:rPr>
            <w:fldChar w:fldCharType="end"/>
          </w:r>
        </w:p>
        <w:p w14:paraId="4E33F6A8">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_Toc27831 </w:instrText>
          </w:r>
          <w:r>
            <w:rPr>
              <w:rFonts w:hint="default"/>
            </w:rPr>
            <w:fldChar w:fldCharType="separate"/>
          </w:r>
          <w:r>
            <w:rPr>
              <w:rFonts w:hint="default"/>
              <w:lang w:val="en-US" w:eastAsia="zh-CN"/>
            </w:rPr>
            <w:t>4.3.2 信息初次研判</w:t>
          </w:r>
          <w:r>
            <w:tab/>
          </w:r>
          <w:r>
            <w:fldChar w:fldCharType="begin"/>
          </w:r>
          <w:r>
            <w:instrText xml:space="preserve"> PAGEREF _Toc27831 \h </w:instrText>
          </w:r>
          <w:r>
            <w:fldChar w:fldCharType="separate"/>
          </w:r>
          <w:r>
            <w:t>31</w:t>
          </w:r>
          <w:r>
            <w:fldChar w:fldCharType="end"/>
          </w:r>
          <w:r>
            <w:rPr>
              <w:rFonts w:hint="default"/>
            </w:rPr>
            <w:fldChar w:fldCharType="end"/>
          </w:r>
        </w:p>
        <w:p w14:paraId="320D29AB">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_Toc22679 </w:instrText>
          </w:r>
          <w:r>
            <w:rPr>
              <w:rFonts w:hint="default"/>
            </w:rPr>
            <w:fldChar w:fldCharType="separate"/>
          </w:r>
          <w:r>
            <w:rPr>
              <w:rFonts w:hint="default"/>
              <w:lang w:val="en-US" w:eastAsia="zh-CN"/>
            </w:rPr>
            <w:t>4.4 发布预警和预警行动</w:t>
          </w:r>
          <w:r>
            <w:tab/>
          </w:r>
          <w:r>
            <w:fldChar w:fldCharType="begin"/>
          </w:r>
          <w:r>
            <w:instrText xml:space="preserve"> PAGEREF _Toc22679 \h </w:instrText>
          </w:r>
          <w:r>
            <w:fldChar w:fldCharType="separate"/>
          </w:r>
          <w:r>
            <w:t>32</w:t>
          </w:r>
          <w:r>
            <w:fldChar w:fldCharType="end"/>
          </w:r>
          <w:r>
            <w:rPr>
              <w:rFonts w:hint="default"/>
            </w:rPr>
            <w:fldChar w:fldCharType="end"/>
          </w:r>
        </w:p>
        <w:p w14:paraId="63FF6ED3">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_Toc21144 </w:instrText>
          </w:r>
          <w:r>
            <w:rPr>
              <w:rFonts w:hint="default"/>
            </w:rPr>
            <w:fldChar w:fldCharType="separate"/>
          </w:r>
          <w:r>
            <w:rPr>
              <w:rFonts w:hint="default"/>
            </w:rPr>
            <w:t>4.4.1 预警分级</w:t>
          </w:r>
          <w:r>
            <w:tab/>
          </w:r>
          <w:r>
            <w:fldChar w:fldCharType="begin"/>
          </w:r>
          <w:r>
            <w:instrText xml:space="preserve"> PAGEREF _Toc21144 \h </w:instrText>
          </w:r>
          <w:r>
            <w:fldChar w:fldCharType="separate"/>
          </w:r>
          <w:r>
            <w:t>32</w:t>
          </w:r>
          <w:r>
            <w:fldChar w:fldCharType="end"/>
          </w:r>
          <w:r>
            <w:rPr>
              <w:rFonts w:hint="default"/>
            </w:rPr>
            <w:fldChar w:fldCharType="end"/>
          </w:r>
        </w:p>
        <w:p w14:paraId="229CCFC3">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_Toc28583 </w:instrText>
          </w:r>
          <w:r>
            <w:rPr>
              <w:rFonts w:hint="default"/>
            </w:rPr>
            <w:fldChar w:fldCharType="separate"/>
          </w:r>
          <w:r>
            <w:rPr>
              <w:rFonts w:hint="default"/>
            </w:rPr>
            <w:t>4.4.</w:t>
          </w:r>
          <w:r>
            <w:rPr>
              <w:rFonts w:hint="default"/>
              <w:lang w:val="en-US" w:eastAsia="zh-CN"/>
            </w:rPr>
            <w:t>2</w:t>
          </w:r>
          <w:r>
            <w:rPr>
              <w:rFonts w:hint="default"/>
            </w:rPr>
            <w:t xml:space="preserve"> 发布预警和预警级别调整</w:t>
          </w:r>
          <w:r>
            <w:tab/>
          </w:r>
          <w:r>
            <w:fldChar w:fldCharType="begin"/>
          </w:r>
          <w:r>
            <w:instrText xml:space="preserve"> PAGEREF _Toc28583 \h </w:instrText>
          </w:r>
          <w:r>
            <w:fldChar w:fldCharType="separate"/>
          </w:r>
          <w:r>
            <w:t>33</w:t>
          </w:r>
          <w:r>
            <w:fldChar w:fldCharType="end"/>
          </w:r>
          <w:r>
            <w:rPr>
              <w:rFonts w:hint="default"/>
            </w:rPr>
            <w:fldChar w:fldCharType="end"/>
          </w:r>
        </w:p>
        <w:p w14:paraId="2AD45E16">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_Toc27515 </w:instrText>
          </w:r>
          <w:r>
            <w:rPr>
              <w:rFonts w:hint="default"/>
            </w:rPr>
            <w:fldChar w:fldCharType="separate"/>
          </w:r>
          <w:r>
            <w:rPr>
              <w:rFonts w:hint="default"/>
            </w:rPr>
            <w:t>4.4.</w:t>
          </w:r>
          <w:r>
            <w:rPr>
              <w:rFonts w:hint="default"/>
              <w:lang w:val="en-US" w:eastAsia="zh-CN"/>
            </w:rPr>
            <w:t>3</w:t>
          </w:r>
          <w:r>
            <w:rPr>
              <w:rFonts w:hint="default"/>
            </w:rPr>
            <w:t xml:space="preserve"> 预警发布内容</w:t>
          </w:r>
          <w:r>
            <w:tab/>
          </w:r>
          <w:r>
            <w:fldChar w:fldCharType="begin"/>
          </w:r>
          <w:r>
            <w:instrText xml:space="preserve"> PAGEREF _Toc27515 \h </w:instrText>
          </w:r>
          <w:r>
            <w:fldChar w:fldCharType="separate"/>
          </w:r>
          <w:r>
            <w:t>33</w:t>
          </w:r>
          <w:r>
            <w:fldChar w:fldCharType="end"/>
          </w:r>
          <w:r>
            <w:rPr>
              <w:rFonts w:hint="default"/>
            </w:rPr>
            <w:fldChar w:fldCharType="end"/>
          </w:r>
        </w:p>
        <w:p w14:paraId="38D94E53">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_Toc25192 </w:instrText>
          </w:r>
          <w:r>
            <w:rPr>
              <w:rFonts w:hint="default"/>
            </w:rPr>
            <w:fldChar w:fldCharType="separate"/>
          </w:r>
          <w:r>
            <w:rPr>
              <w:rFonts w:hint="default"/>
            </w:rPr>
            <w:t>4.4.</w:t>
          </w:r>
          <w:r>
            <w:rPr>
              <w:rFonts w:hint="default"/>
              <w:lang w:val="en-US" w:eastAsia="zh-CN"/>
            </w:rPr>
            <w:t>4</w:t>
          </w:r>
          <w:r>
            <w:rPr>
              <w:rFonts w:hint="default"/>
            </w:rPr>
            <w:t xml:space="preserve"> 预警行动</w:t>
          </w:r>
          <w:r>
            <w:tab/>
          </w:r>
          <w:r>
            <w:fldChar w:fldCharType="begin"/>
          </w:r>
          <w:r>
            <w:instrText xml:space="preserve"> PAGEREF _Toc25192 \h </w:instrText>
          </w:r>
          <w:r>
            <w:fldChar w:fldCharType="separate"/>
          </w:r>
          <w:r>
            <w:t>33</w:t>
          </w:r>
          <w:r>
            <w:fldChar w:fldCharType="end"/>
          </w:r>
          <w:r>
            <w:rPr>
              <w:rFonts w:hint="default"/>
            </w:rPr>
            <w:fldChar w:fldCharType="end"/>
          </w:r>
        </w:p>
        <w:p w14:paraId="04D31451">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_Toc21525 </w:instrText>
          </w:r>
          <w:r>
            <w:rPr>
              <w:rFonts w:hint="default"/>
            </w:rPr>
            <w:fldChar w:fldCharType="separate"/>
          </w:r>
          <w:r>
            <w:rPr>
              <w:rFonts w:hint="default"/>
              <w:lang w:val="en-US" w:eastAsia="zh-CN"/>
            </w:rPr>
            <w:t>4.5 预警解除</w:t>
          </w:r>
          <w:r>
            <w:tab/>
          </w:r>
          <w:r>
            <w:fldChar w:fldCharType="begin"/>
          </w:r>
          <w:r>
            <w:instrText xml:space="preserve"> PAGEREF _Toc21525 \h </w:instrText>
          </w:r>
          <w:r>
            <w:fldChar w:fldCharType="separate"/>
          </w:r>
          <w:r>
            <w:t>34</w:t>
          </w:r>
          <w:r>
            <w:fldChar w:fldCharType="end"/>
          </w:r>
          <w:r>
            <w:rPr>
              <w:rFonts w:hint="default"/>
            </w:rPr>
            <w:fldChar w:fldCharType="end"/>
          </w:r>
        </w:p>
        <w:p w14:paraId="0D482437">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_Toc31397 </w:instrText>
          </w:r>
          <w:r>
            <w:rPr>
              <w:rFonts w:hint="default"/>
            </w:rPr>
            <w:fldChar w:fldCharType="separate"/>
          </w:r>
          <w:r>
            <w:rPr>
              <w:rFonts w:hint="default"/>
              <w:lang w:val="en-US" w:eastAsia="zh-CN"/>
            </w:rPr>
            <w:t>4.6 信息报告与通报</w:t>
          </w:r>
          <w:r>
            <w:tab/>
          </w:r>
          <w:r>
            <w:fldChar w:fldCharType="begin"/>
          </w:r>
          <w:r>
            <w:instrText xml:space="preserve"> PAGEREF _Toc31397 \h </w:instrText>
          </w:r>
          <w:r>
            <w:fldChar w:fldCharType="separate"/>
          </w:r>
          <w:r>
            <w:t>35</w:t>
          </w:r>
          <w:r>
            <w:fldChar w:fldCharType="end"/>
          </w:r>
          <w:r>
            <w:rPr>
              <w:rFonts w:hint="default"/>
            </w:rPr>
            <w:fldChar w:fldCharType="end"/>
          </w:r>
        </w:p>
        <w:p w14:paraId="1EBA5EF3">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_Toc22368 </w:instrText>
          </w:r>
          <w:r>
            <w:rPr>
              <w:rFonts w:hint="default"/>
            </w:rPr>
            <w:fldChar w:fldCharType="separate"/>
          </w:r>
          <w:r>
            <w:rPr>
              <w:rFonts w:hint="default"/>
            </w:rPr>
            <w:t>4.</w:t>
          </w:r>
          <w:r>
            <w:rPr>
              <w:rFonts w:hint="default"/>
              <w:lang w:val="en-US" w:eastAsia="zh-CN"/>
            </w:rPr>
            <w:t>6</w:t>
          </w:r>
          <w:r>
            <w:rPr>
              <w:rFonts w:hint="default"/>
            </w:rPr>
            <w:t>.1 信息报告程序</w:t>
          </w:r>
          <w:r>
            <w:tab/>
          </w:r>
          <w:r>
            <w:fldChar w:fldCharType="begin"/>
          </w:r>
          <w:r>
            <w:instrText xml:space="preserve"> PAGEREF _Toc22368 \h </w:instrText>
          </w:r>
          <w:r>
            <w:fldChar w:fldCharType="separate"/>
          </w:r>
          <w:r>
            <w:t>35</w:t>
          </w:r>
          <w:r>
            <w:fldChar w:fldCharType="end"/>
          </w:r>
          <w:r>
            <w:rPr>
              <w:rFonts w:hint="default"/>
            </w:rPr>
            <w:fldChar w:fldCharType="end"/>
          </w:r>
        </w:p>
        <w:p w14:paraId="094AD9E1">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_Toc18015 </w:instrText>
          </w:r>
          <w:r>
            <w:rPr>
              <w:rFonts w:hint="default"/>
            </w:rPr>
            <w:fldChar w:fldCharType="separate"/>
          </w:r>
          <w:r>
            <w:rPr>
              <w:rFonts w:hint="default"/>
              <w:lang w:val="en-US" w:eastAsia="zh-CN"/>
            </w:rPr>
            <w:t>4.6.2 信息通报程序</w:t>
          </w:r>
          <w:r>
            <w:tab/>
          </w:r>
          <w:r>
            <w:fldChar w:fldCharType="begin"/>
          </w:r>
          <w:r>
            <w:instrText xml:space="preserve"> PAGEREF _Toc18015 \h </w:instrText>
          </w:r>
          <w:r>
            <w:fldChar w:fldCharType="separate"/>
          </w:r>
          <w:r>
            <w:t>35</w:t>
          </w:r>
          <w:r>
            <w:fldChar w:fldCharType="end"/>
          </w:r>
          <w:r>
            <w:rPr>
              <w:rFonts w:hint="default"/>
            </w:rPr>
            <w:fldChar w:fldCharType="end"/>
          </w:r>
        </w:p>
        <w:p w14:paraId="2EE5968B">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_Toc18051 </w:instrText>
          </w:r>
          <w:r>
            <w:rPr>
              <w:rFonts w:hint="default"/>
            </w:rPr>
            <w:fldChar w:fldCharType="separate"/>
          </w:r>
          <w:r>
            <w:rPr>
              <w:rFonts w:hint="default"/>
            </w:rPr>
            <w:t>4.</w:t>
          </w:r>
          <w:r>
            <w:rPr>
              <w:rFonts w:hint="default"/>
              <w:lang w:val="en-US" w:eastAsia="zh-CN"/>
            </w:rPr>
            <w:t>6</w:t>
          </w:r>
          <w:r>
            <w:rPr>
              <w:rFonts w:hint="default"/>
            </w:rPr>
            <w:t>.3 信息报告和通报内容</w:t>
          </w:r>
          <w:r>
            <w:tab/>
          </w:r>
          <w:r>
            <w:fldChar w:fldCharType="begin"/>
          </w:r>
          <w:r>
            <w:instrText xml:space="preserve"> PAGEREF _Toc18051 \h </w:instrText>
          </w:r>
          <w:r>
            <w:fldChar w:fldCharType="separate"/>
          </w:r>
          <w:r>
            <w:t>36</w:t>
          </w:r>
          <w:r>
            <w:fldChar w:fldCharType="end"/>
          </w:r>
          <w:r>
            <w:rPr>
              <w:rFonts w:hint="default"/>
            </w:rPr>
            <w:fldChar w:fldCharType="end"/>
          </w:r>
        </w:p>
        <w:p w14:paraId="206F7733">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_Toc2208 </w:instrText>
          </w:r>
          <w:r>
            <w:rPr>
              <w:rFonts w:hint="default"/>
            </w:rPr>
            <w:fldChar w:fldCharType="separate"/>
          </w:r>
          <w:r>
            <w:rPr>
              <w:rFonts w:hint="default"/>
              <w:lang w:val="en-US" w:eastAsia="zh-CN"/>
            </w:rPr>
            <w:t>4.7应急监测</w:t>
          </w:r>
          <w:r>
            <w:tab/>
          </w:r>
          <w:r>
            <w:fldChar w:fldCharType="begin"/>
          </w:r>
          <w:r>
            <w:instrText xml:space="preserve"> PAGEREF _Toc2208 \h </w:instrText>
          </w:r>
          <w:r>
            <w:fldChar w:fldCharType="separate"/>
          </w:r>
          <w:r>
            <w:t>36</w:t>
          </w:r>
          <w:r>
            <w:fldChar w:fldCharType="end"/>
          </w:r>
          <w:r>
            <w:rPr>
              <w:rFonts w:hint="default"/>
            </w:rPr>
            <w:fldChar w:fldCharType="end"/>
          </w:r>
        </w:p>
        <w:p w14:paraId="390CF535">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_Toc15577 </w:instrText>
          </w:r>
          <w:r>
            <w:rPr>
              <w:rFonts w:hint="default"/>
            </w:rPr>
            <w:fldChar w:fldCharType="separate"/>
          </w:r>
          <w:r>
            <w:rPr>
              <w:rFonts w:hint="default"/>
              <w:lang w:val="en-US" w:eastAsia="zh-CN"/>
            </w:rPr>
            <w:t>4.7.1</w:t>
          </w:r>
          <w:r>
            <w:rPr>
              <w:rFonts w:hint="default"/>
            </w:rPr>
            <w:t>开展应急监测程序</w:t>
          </w:r>
          <w:r>
            <w:tab/>
          </w:r>
          <w:r>
            <w:fldChar w:fldCharType="begin"/>
          </w:r>
          <w:r>
            <w:instrText xml:space="preserve"> PAGEREF _Toc15577 \h </w:instrText>
          </w:r>
          <w:r>
            <w:fldChar w:fldCharType="separate"/>
          </w:r>
          <w:r>
            <w:t>36</w:t>
          </w:r>
          <w:r>
            <w:fldChar w:fldCharType="end"/>
          </w:r>
          <w:r>
            <w:rPr>
              <w:rFonts w:hint="default"/>
            </w:rPr>
            <w:fldChar w:fldCharType="end"/>
          </w:r>
        </w:p>
        <w:p w14:paraId="500AE463">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_Toc10735 </w:instrText>
          </w:r>
          <w:r>
            <w:rPr>
              <w:rFonts w:hint="default"/>
            </w:rPr>
            <w:fldChar w:fldCharType="separate"/>
          </w:r>
          <w:r>
            <w:rPr>
              <w:rFonts w:hint="default"/>
              <w:lang w:val="en-US" w:eastAsia="zh-CN"/>
            </w:rPr>
            <w:t>4.7.2制定应急监测方案</w:t>
          </w:r>
          <w:r>
            <w:tab/>
          </w:r>
          <w:r>
            <w:fldChar w:fldCharType="begin"/>
          </w:r>
          <w:r>
            <w:instrText xml:space="preserve"> PAGEREF _Toc10735 \h </w:instrText>
          </w:r>
          <w:r>
            <w:fldChar w:fldCharType="separate"/>
          </w:r>
          <w:r>
            <w:t>37</w:t>
          </w:r>
          <w:r>
            <w:fldChar w:fldCharType="end"/>
          </w:r>
          <w:r>
            <w:rPr>
              <w:rFonts w:hint="default"/>
            </w:rPr>
            <w:fldChar w:fldCharType="end"/>
          </w:r>
        </w:p>
        <w:p w14:paraId="18B13A68">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_Toc6427 </w:instrText>
          </w:r>
          <w:r>
            <w:rPr>
              <w:rFonts w:hint="default"/>
            </w:rPr>
            <w:fldChar w:fldCharType="separate"/>
          </w:r>
          <w:r>
            <w:rPr>
              <w:rFonts w:hint="default"/>
              <w:lang w:val="en-US" w:eastAsia="zh-CN"/>
            </w:rPr>
            <w:t>4.8 溯源分析</w:t>
          </w:r>
          <w:r>
            <w:tab/>
          </w:r>
          <w:r>
            <w:fldChar w:fldCharType="begin"/>
          </w:r>
          <w:r>
            <w:instrText xml:space="preserve"> PAGEREF _Toc6427 \h </w:instrText>
          </w:r>
          <w:r>
            <w:fldChar w:fldCharType="separate"/>
          </w:r>
          <w:r>
            <w:t>38</w:t>
          </w:r>
          <w:r>
            <w:fldChar w:fldCharType="end"/>
          </w:r>
          <w:r>
            <w:rPr>
              <w:rFonts w:hint="default"/>
            </w:rPr>
            <w:fldChar w:fldCharType="end"/>
          </w:r>
        </w:p>
        <w:p w14:paraId="3E5B6721">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_Toc27968 </w:instrText>
          </w:r>
          <w:r>
            <w:rPr>
              <w:rFonts w:hint="default"/>
            </w:rPr>
            <w:fldChar w:fldCharType="separate"/>
          </w:r>
          <w:r>
            <w:rPr>
              <w:rFonts w:hint="default"/>
              <w:lang w:val="en-US" w:eastAsia="zh-CN"/>
            </w:rPr>
            <w:t>4.9先期处置</w:t>
          </w:r>
          <w:r>
            <w:tab/>
          </w:r>
          <w:r>
            <w:fldChar w:fldCharType="begin"/>
          </w:r>
          <w:r>
            <w:instrText xml:space="preserve"> PAGEREF _Toc27968 \h </w:instrText>
          </w:r>
          <w:r>
            <w:fldChar w:fldCharType="separate"/>
          </w:r>
          <w:r>
            <w:t>39</w:t>
          </w:r>
          <w:r>
            <w:fldChar w:fldCharType="end"/>
          </w:r>
          <w:r>
            <w:rPr>
              <w:rFonts w:hint="default"/>
            </w:rPr>
            <w:fldChar w:fldCharType="end"/>
          </w:r>
        </w:p>
        <w:p w14:paraId="79DBA105">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_Toc32001 </w:instrText>
          </w:r>
          <w:r>
            <w:rPr>
              <w:rFonts w:hint="default"/>
            </w:rPr>
            <w:fldChar w:fldCharType="separate"/>
          </w:r>
          <w:r>
            <w:rPr>
              <w:rFonts w:hint="default"/>
              <w:lang w:val="en-US" w:eastAsia="zh-CN"/>
            </w:rPr>
            <w:t>4.10 物资调集及应急设施启用</w:t>
          </w:r>
          <w:r>
            <w:tab/>
          </w:r>
          <w:r>
            <w:fldChar w:fldCharType="begin"/>
          </w:r>
          <w:r>
            <w:instrText xml:space="preserve"> PAGEREF _Toc32001 \h </w:instrText>
          </w:r>
          <w:r>
            <w:fldChar w:fldCharType="separate"/>
          </w:r>
          <w:r>
            <w:t>40</w:t>
          </w:r>
          <w:r>
            <w:fldChar w:fldCharType="end"/>
          </w:r>
          <w:r>
            <w:rPr>
              <w:rFonts w:hint="default"/>
            </w:rPr>
            <w:fldChar w:fldCharType="end"/>
          </w:r>
        </w:p>
        <w:p w14:paraId="54F25180">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_Toc5534 </w:instrText>
          </w:r>
          <w:r>
            <w:rPr>
              <w:rFonts w:hint="default"/>
            </w:rPr>
            <w:fldChar w:fldCharType="separate"/>
          </w:r>
          <w:r>
            <w:rPr>
              <w:rFonts w:hint="default"/>
              <w:lang w:val="en-US" w:eastAsia="zh-CN"/>
            </w:rPr>
            <w:t>4.11 应急处置</w:t>
          </w:r>
          <w:r>
            <w:tab/>
          </w:r>
          <w:r>
            <w:fldChar w:fldCharType="begin"/>
          </w:r>
          <w:r>
            <w:instrText xml:space="preserve"> PAGEREF _Toc5534 \h </w:instrText>
          </w:r>
          <w:r>
            <w:fldChar w:fldCharType="separate"/>
          </w:r>
          <w:r>
            <w:t>41</w:t>
          </w:r>
          <w:r>
            <w:fldChar w:fldCharType="end"/>
          </w:r>
          <w:r>
            <w:rPr>
              <w:rFonts w:hint="default"/>
            </w:rPr>
            <w:fldChar w:fldCharType="end"/>
          </w:r>
        </w:p>
        <w:p w14:paraId="28C86601">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_Toc28379 </w:instrText>
          </w:r>
          <w:r>
            <w:rPr>
              <w:rFonts w:hint="default"/>
            </w:rPr>
            <w:fldChar w:fldCharType="separate"/>
          </w:r>
          <w:r>
            <w:rPr>
              <w:rFonts w:hint="default"/>
              <w:highlight w:val="none"/>
              <w:lang w:val="en-US" w:eastAsia="zh-CN"/>
            </w:rPr>
            <w:t>4.1</w:t>
          </w:r>
          <w:r>
            <w:rPr>
              <w:rFonts w:hint="eastAsia"/>
              <w:highlight w:val="none"/>
              <w:lang w:val="en-US" w:eastAsia="zh-CN"/>
            </w:rPr>
            <w:t>1</w:t>
          </w:r>
          <w:r>
            <w:rPr>
              <w:rFonts w:hint="default"/>
              <w:highlight w:val="none"/>
              <w:lang w:val="en-US" w:eastAsia="zh-CN"/>
            </w:rPr>
            <w:t>.1</w:t>
          </w:r>
          <w:r>
            <w:rPr>
              <w:rFonts w:hint="eastAsia"/>
              <w:highlight w:val="none"/>
              <w:lang w:val="en-US" w:eastAsia="zh-CN"/>
            </w:rPr>
            <w:t>现场应急处置原则</w:t>
          </w:r>
          <w:r>
            <w:tab/>
          </w:r>
          <w:r>
            <w:fldChar w:fldCharType="begin"/>
          </w:r>
          <w:r>
            <w:instrText xml:space="preserve"> PAGEREF _Toc28379 \h </w:instrText>
          </w:r>
          <w:r>
            <w:fldChar w:fldCharType="separate"/>
          </w:r>
          <w:r>
            <w:t>41</w:t>
          </w:r>
          <w:r>
            <w:fldChar w:fldCharType="end"/>
          </w:r>
          <w:r>
            <w:rPr>
              <w:rFonts w:hint="default"/>
            </w:rPr>
            <w:fldChar w:fldCharType="end"/>
          </w:r>
        </w:p>
        <w:p w14:paraId="79AC405E">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_Toc18907 </w:instrText>
          </w:r>
          <w:r>
            <w:rPr>
              <w:rFonts w:hint="default"/>
            </w:rPr>
            <w:fldChar w:fldCharType="separate"/>
          </w:r>
          <w:r>
            <w:rPr>
              <w:rFonts w:hint="default"/>
              <w:highlight w:val="none"/>
              <w:lang w:val="en-US" w:eastAsia="zh-CN"/>
            </w:rPr>
            <w:t>4.1</w:t>
          </w:r>
          <w:r>
            <w:rPr>
              <w:rFonts w:hint="eastAsia"/>
              <w:highlight w:val="none"/>
              <w:lang w:val="en-US" w:eastAsia="zh-CN"/>
            </w:rPr>
            <w:t>1</w:t>
          </w:r>
          <w:r>
            <w:rPr>
              <w:rFonts w:hint="default"/>
              <w:highlight w:val="none"/>
              <w:lang w:val="en-US" w:eastAsia="zh-CN"/>
            </w:rPr>
            <w:t>.</w:t>
          </w:r>
          <w:r>
            <w:rPr>
              <w:rFonts w:hint="eastAsia"/>
              <w:highlight w:val="none"/>
              <w:lang w:val="en-US" w:eastAsia="zh-CN"/>
            </w:rPr>
            <w:t>2</w:t>
          </w:r>
          <w:r>
            <w:rPr>
              <w:rFonts w:hint="default"/>
              <w:highlight w:val="none"/>
              <w:lang w:val="en-US" w:eastAsia="zh-CN"/>
            </w:rPr>
            <w:t>现场处置方案</w:t>
          </w:r>
          <w:r>
            <w:tab/>
          </w:r>
          <w:r>
            <w:fldChar w:fldCharType="begin"/>
          </w:r>
          <w:r>
            <w:instrText xml:space="preserve"> PAGEREF _Toc18907 \h </w:instrText>
          </w:r>
          <w:r>
            <w:fldChar w:fldCharType="separate"/>
          </w:r>
          <w:r>
            <w:t>41</w:t>
          </w:r>
          <w:r>
            <w:fldChar w:fldCharType="end"/>
          </w:r>
          <w:r>
            <w:rPr>
              <w:rFonts w:hint="default"/>
            </w:rPr>
            <w:fldChar w:fldCharType="end"/>
          </w:r>
        </w:p>
        <w:p w14:paraId="6386D3BD">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_Toc21736 </w:instrText>
          </w:r>
          <w:r>
            <w:rPr>
              <w:rFonts w:hint="default"/>
            </w:rPr>
            <w:fldChar w:fldCharType="separate"/>
          </w:r>
          <w:r>
            <w:rPr>
              <w:rFonts w:hint="default"/>
              <w:lang w:val="en-US" w:eastAsia="zh-CN"/>
            </w:rPr>
            <w:t>4.12 信息公开与发布</w:t>
          </w:r>
          <w:r>
            <w:tab/>
          </w:r>
          <w:r>
            <w:fldChar w:fldCharType="begin"/>
          </w:r>
          <w:r>
            <w:instrText xml:space="preserve"> PAGEREF _Toc21736 \h </w:instrText>
          </w:r>
          <w:r>
            <w:fldChar w:fldCharType="separate"/>
          </w:r>
          <w:r>
            <w:t>44</w:t>
          </w:r>
          <w:r>
            <w:fldChar w:fldCharType="end"/>
          </w:r>
          <w:r>
            <w:rPr>
              <w:rFonts w:hint="default"/>
            </w:rPr>
            <w:fldChar w:fldCharType="end"/>
          </w:r>
        </w:p>
        <w:p w14:paraId="18F4EA9B">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_Toc12041 </w:instrText>
          </w:r>
          <w:r>
            <w:rPr>
              <w:rFonts w:hint="default"/>
            </w:rPr>
            <w:fldChar w:fldCharType="separate"/>
          </w:r>
          <w:r>
            <w:rPr>
              <w:rFonts w:hint="default"/>
              <w:lang w:val="en-US" w:eastAsia="zh-CN"/>
            </w:rPr>
            <w:t>4.12.1舆情监测</w:t>
          </w:r>
          <w:r>
            <w:tab/>
          </w:r>
          <w:r>
            <w:fldChar w:fldCharType="begin"/>
          </w:r>
          <w:r>
            <w:instrText xml:space="preserve"> PAGEREF _Toc12041 \h </w:instrText>
          </w:r>
          <w:r>
            <w:fldChar w:fldCharType="separate"/>
          </w:r>
          <w:r>
            <w:t>44</w:t>
          </w:r>
          <w:r>
            <w:fldChar w:fldCharType="end"/>
          </w:r>
          <w:r>
            <w:rPr>
              <w:rFonts w:hint="default"/>
            </w:rPr>
            <w:fldChar w:fldCharType="end"/>
          </w:r>
        </w:p>
        <w:p w14:paraId="33C03B1F">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_Toc122 </w:instrText>
          </w:r>
          <w:r>
            <w:rPr>
              <w:rFonts w:hint="default"/>
            </w:rPr>
            <w:fldChar w:fldCharType="separate"/>
          </w:r>
          <w:r>
            <w:rPr>
              <w:rFonts w:hint="default"/>
              <w:lang w:val="en-US" w:eastAsia="zh-CN"/>
            </w:rPr>
            <w:t>4.12.2公开方式</w:t>
          </w:r>
          <w:r>
            <w:tab/>
          </w:r>
          <w:r>
            <w:fldChar w:fldCharType="begin"/>
          </w:r>
          <w:r>
            <w:instrText xml:space="preserve"> PAGEREF _Toc122 \h </w:instrText>
          </w:r>
          <w:r>
            <w:fldChar w:fldCharType="separate"/>
          </w:r>
          <w:r>
            <w:t>44</w:t>
          </w:r>
          <w:r>
            <w:fldChar w:fldCharType="end"/>
          </w:r>
          <w:r>
            <w:rPr>
              <w:rFonts w:hint="default"/>
            </w:rPr>
            <w:fldChar w:fldCharType="end"/>
          </w:r>
        </w:p>
        <w:p w14:paraId="0EC3BF95">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_Toc14229 </w:instrText>
          </w:r>
          <w:r>
            <w:rPr>
              <w:rFonts w:hint="default"/>
            </w:rPr>
            <w:fldChar w:fldCharType="separate"/>
          </w:r>
          <w:r>
            <w:rPr>
              <w:rFonts w:hint="default"/>
              <w:lang w:val="en-US" w:eastAsia="zh-CN"/>
            </w:rPr>
            <w:t>4.12.3发布的主要内容</w:t>
          </w:r>
          <w:r>
            <w:tab/>
          </w:r>
          <w:r>
            <w:fldChar w:fldCharType="begin"/>
          </w:r>
          <w:r>
            <w:instrText xml:space="preserve"> PAGEREF _Toc14229 \h </w:instrText>
          </w:r>
          <w:r>
            <w:fldChar w:fldCharType="separate"/>
          </w:r>
          <w:r>
            <w:t>44</w:t>
          </w:r>
          <w:r>
            <w:fldChar w:fldCharType="end"/>
          </w:r>
          <w:r>
            <w:rPr>
              <w:rFonts w:hint="default"/>
            </w:rPr>
            <w:fldChar w:fldCharType="end"/>
          </w:r>
        </w:p>
        <w:p w14:paraId="03B62B44">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_Toc28458 </w:instrText>
          </w:r>
          <w:r>
            <w:rPr>
              <w:rFonts w:hint="default"/>
            </w:rPr>
            <w:fldChar w:fldCharType="separate"/>
          </w:r>
          <w:r>
            <w:rPr>
              <w:rFonts w:hint="default"/>
              <w:lang w:val="en-US" w:eastAsia="zh-CN"/>
            </w:rPr>
            <w:t>4.</w:t>
          </w:r>
          <w:r>
            <w:rPr>
              <w:rFonts w:hint="eastAsia"/>
              <w:lang w:val="en-US" w:eastAsia="zh-CN"/>
            </w:rPr>
            <w:t>13</w:t>
          </w:r>
          <w:r>
            <w:rPr>
              <w:rFonts w:hint="default"/>
              <w:lang w:val="en-US" w:eastAsia="zh-CN"/>
            </w:rPr>
            <w:t>响应终止</w:t>
          </w:r>
          <w:r>
            <w:tab/>
          </w:r>
          <w:r>
            <w:fldChar w:fldCharType="begin"/>
          </w:r>
          <w:r>
            <w:instrText xml:space="preserve"> PAGEREF _Toc28458 \h </w:instrText>
          </w:r>
          <w:r>
            <w:fldChar w:fldCharType="separate"/>
          </w:r>
          <w:r>
            <w:t>45</w:t>
          </w:r>
          <w:r>
            <w:fldChar w:fldCharType="end"/>
          </w:r>
          <w:r>
            <w:rPr>
              <w:rFonts w:hint="default"/>
            </w:rPr>
            <w:fldChar w:fldCharType="end"/>
          </w:r>
        </w:p>
        <w:p w14:paraId="75528126">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_Toc21545 </w:instrText>
          </w:r>
          <w:r>
            <w:rPr>
              <w:rFonts w:hint="default"/>
            </w:rPr>
            <w:fldChar w:fldCharType="separate"/>
          </w:r>
          <w:r>
            <w:rPr>
              <w:rFonts w:hint="default"/>
              <w:lang w:val="en-US" w:eastAsia="zh-CN"/>
            </w:rPr>
            <w:t>4.</w:t>
          </w:r>
          <w:r>
            <w:rPr>
              <w:rFonts w:hint="eastAsia"/>
              <w:lang w:val="en-US" w:eastAsia="zh-CN"/>
            </w:rPr>
            <w:t>13</w:t>
          </w:r>
          <w:r>
            <w:rPr>
              <w:rFonts w:hint="default"/>
              <w:lang w:val="en-US" w:eastAsia="zh-CN"/>
            </w:rPr>
            <w:t>.1 应急响应终止条件</w:t>
          </w:r>
          <w:r>
            <w:tab/>
          </w:r>
          <w:r>
            <w:fldChar w:fldCharType="begin"/>
          </w:r>
          <w:r>
            <w:instrText xml:space="preserve"> PAGEREF _Toc21545 \h </w:instrText>
          </w:r>
          <w:r>
            <w:fldChar w:fldCharType="separate"/>
          </w:r>
          <w:r>
            <w:t>45</w:t>
          </w:r>
          <w:r>
            <w:fldChar w:fldCharType="end"/>
          </w:r>
          <w:r>
            <w:rPr>
              <w:rFonts w:hint="default"/>
            </w:rPr>
            <w:fldChar w:fldCharType="end"/>
          </w:r>
        </w:p>
        <w:p w14:paraId="1839AE9A">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_Toc23201 </w:instrText>
          </w:r>
          <w:r>
            <w:rPr>
              <w:rFonts w:hint="default"/>
            </w:rPr>
            <w:fldChar w:fldCharType="separate"/>
          </w:r>
          <w:r>
            <w:rPr>
              <w:rFonts w:hint="default"/>
              <w:lang w:val="en-US" w:eastAsia="zh-CN"/>
            </w:rPr>
            <w:t>4.</w:t>
          </w:r>
          <w:r>
            <w:rPr>
              <w:rFonts w:hint="eastAsia"/>
              <w:lang w:val="en-US" w:eastAsia="zh-CN"/>
            </w:rPr>
            <w:t>13</w:t>
          </w:r>
          <w:r>
            <w:rPr>
              <w:rFonts w:hint="default"/>
              <w:lang w:val="en-US" w:eastAsia="zh-CN"/>
            </w:rPr>
            <w:t>.2 应急响应终止程序</w:t>
          </w:r>
          <w:r>
            <w:tab/>
          </w:r>
          <w:r>
            <w:fldChar w:fldCharType="begin"/>
          </w:r>
          <w:r>
            <w:instrText xml:space="preserve"> PAGEREF _Toc23201 \h </w:instrText>
          </w:r>
          <w:r>
            <w:fldChar w:fldCharType="separate"/>
          </w:r>
          <w:r>
            <w:t>45</w:t>
          </w:r>
          <w:r>
            <w:fldChar w:fldCharType="end"/>
          </w:r>
          <w:r>
            <w:rPr>
              <w:rFonts w:hint="default"/>
            </w:rPr>
            <w:fldChar w:fldCharType="end"/>
          </w:r>
        </w:p>
        <w:p w14:paraId="5F22270E">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_Toc23756 </w:instrText>
          </w:r>
          <w:r>
            <w:rPr>
              <w:rFonts w:hint="default"/>
            </w:rPr>
            <w:fldChar w:fldCharType="separate"/>
          </w:r>
          <w:r>
            <w:rPr>
              <w:rFonts w:hint="default"/>
            </w:rPr>
            <w:t>第五章</w:t>
          </w:r>
          <w:r>
            <w:rPr>
              <w:rFonts w:hint="default"/>
              <w:lang w:val="en-US" w:eastAsia="zh-CN"/>
            </w:rPr>
            <w:t xml:space="preserve"> </w:t>
          </w:r>
          <w:r>
            <w:rPr>
              <w:rFonts w:hint="default"/>
            </w:rPr>
            <w:t>后期工作</w:t>
          </w:r>
          <w:r>
            <w:tab/>
          </w:r>
          <w:r>
            <w:fldChar w:fldCharType="begin"/>
          </w:r>
          <w:r>
            <w:instrText xml:space="preserve"> PAGEREF _Toc23756 \h </w:instrText>
          </w:r>
          <w:r>
            <w:fldChar w:fldCharType="separate"/>
          </w:r>
          <w:r>
            <w:t>46</w:t>
          </w:r>
          <w:r>
            <w:fldChar w:fldCharType="end"/>
          </w:r>
          <w:r>
            <w:rPr>
              <w:rFonts w:hint="default"/>
            </w:rPr>
            <w:fldChar w:fldCharType="end"/>
          </w:r>
        </w:p>
        <w:p w14:paraId="506F1FCA">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_Toc13255 </w:instrText>
          </w:r>
          <w:r>
            <w:rPr>
              <w:rFonts w:hint="default"/>
            </w:rPr>
            <w:fldChar w:fldCharType="separate"/>
          </w:r>
          <w:r>
            <w:rPr>
              <w:rFonts w:hint="default"/>
              <w:lang w:val="en-US" w:eastAsia="zh-CN"/>
            </w:rPr>
            <w:t>5.1后期防控</w:t>
          </w:r>
          <w:r>
            <w:tab/>
          </w:r>
          <w:r>
            <w:fldChar w:fldCharType="begin"/>
          </w:r>
          <w:r>
            <w:instrText xml:space="preserve"> PAGEREF _Toc13255 \h </w:instrText>
          </w:r>
          <w:r>
            <w:fldChar w:fldCharType="separate"/>
          </w:r>
          <w:r>
            <w:t>46</w:t>
          </w:r>
          <w:r>
            <w:fldChar w:fldCharType="end"/>
          </w:r>
          <w:r>
            <w:rPr>
              <w:rFonts w:hint="default"/>
            </w:rPr>
            <w:fldChar w:fldCharType="end"/>
          </w:r>
        </w:p>
        <w:p w14:paraId="539EFF05">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_Toc31702 </w:instrText>
          </w:r>
          <w:r>
            <w:rPr>
              <w:rFonts w:hint="default"/>
            </w:rPr>
            <w:fldChar w:fldCharType="separate"/>
          </w:r>
          <w:r>
            <w:rPr>
              <w:rFonts w:hint="default"/>
              <w:lang w:val="en-US" w:eastAsia="zh-CN"/>
            </w:rPr>
            <w:t>5.2事件调查</w:t>
          </w:r>
          <w:r>
            <w:tab/>
          </w:r>
          <w:r>
            <w:fldChar w:fldCharType="begin"/>
          </w:r>
          <w:r>
            <w:instrText xml:space="preserve"> PAGEREF _Toc31702 \h </w:instrText>
          </w:r>
          <w:r>
            <w:fldChar w:fldCharType="separate"/>
          </w:r>
          <w:r>
            <w:t>46</w:t>
          </w:r>
          <w:r>
            <w:fldChar w:fldCharType="end"/>
          </w:r>
          <w:r>
            <w:rPr>
              <w:rFonts w:hint="default"/>
            </w:rPr>
            <w:fldChar w:fldCharType="end"/>
          </w:r>
        </w:p>
        <w:p w14:paraId="711CF389">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_Toc19544 </w:instrText>
          </w:r>
          <w:r>
            <w:rPr>
              <w:rFonts w:hint="default"/>
            </w:rPr>
            <w:fldChar w:fldCharType="separate"/>
          </w:r>
          <w:r>
            <w:rPr>
              <w:rFonts w:hint="default"/>
              <w:lang w:val="en-US" w:eastAsia="zh-CN"/>
            </w:rPr>
            <w:t>5.3 损害评估</w:t>
          </w:r>
          <w:r>
            <w:tab/>
          </w:r>
          <w:r>
            <w:fldChar w:fldCharType="begin"/>
          </w:r>
          <w:r>
            <w:instrText xml:space="preserve"> PAGEREF _Toc19544 \h </w:instrText>
          </w:r>
          <w:r>
            <w:fldChar w:fldCharType="separate"/>
          </w:r>
          <w:r>
            <w:t>47</w:t>
          </w:r>
          <w:r>
            <w:fldChar w:fldCharType="end"/>
          </w:r>
          <w:r>
            <w:rPr>
              <w:rFonts w:hint="default"/>
            </w:rPr>
            <w:fldChar w:fldCharType="end"/>
          </w:r>
        </w:p>
        <w:p w14:paraId="4F71A9D0">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_Toc29107 </w:instrText>
          </w:r>
          <w:r>
            <w:rPr>
              <w:rFonts w:hint="default"/>
            </w:rPr>
            <w:fldChar w:fldCharType="separate"/>
          </w:r>
          <w:r>
            <w:rPr>
              <w:rFonts w:hint="default"/>
              <w:lang w:val="en-US" w:eastAsia="zh-CN"/>
            </w:rPr>
            <w:t>5.4 善后处置</w:t>
          </w:r>
          <w:r>
            <w:tab/>
          </w:r>
          <w:r>
            <w:fldChar w:fldCharType="begin"/>
          </w:r>
          <w:r>
            <w:instrText xml:space="preserve"> PAGEREF _Toc29107 \h </w:instrText>
          </w:r>
          <w:r>
            <w:fldChar w:fldCharType="separate"/>
          </w:r>
          <w:r>
            <w:t>47</w:t>
          </w:r>
          <w:r>
            <w:fldChar w:fldCharType="end"/>
          </w:r>
          <w:r>
            <w:rPr>
              <w:rFonts w:hint="default"/>
            </w:rPr>
            <w:fldChar w:fldCharType="end"/>
          </w:r>
        </w:p>
        <w:p w14:paraId="24450B4F">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_Toc18990 </w:instrText>
          </w:r>
          <w:r>
            <w:rPr>
              <w:rFonts w:hint="default"/>
            </w:rPr>
            <w:fldChar w:fldCharType="separate"/>
          </w:r>
          <w:r>
            <w:rPr>
              <w:rFonts w:hint="default"/>
              <w:lang w:val="en-US" w:eastAsia="zh-CN"/>
            </w:rPr>
            <w:t>5.4.1 损害赔偿</w:t>
          </w:r>
          <w:r>
            <w:tab/>
          </w:r>
          <w:r>
            <w:fldChar w:fldCharType="begin"/>
          </w:r>
          <w:r>
            <w:instrText xml:space="preserve"> PAGEREF _Toc18990 \h </w:instrText>
          </w:r>
          <w:r>
            <w:fldChar w:fldCharType="separate"/>
          </w:r>
          <w:r>
            <w:t>48</w:t>
          </w:r>
          <w:r>
            <w:fldChar w:fldCharType="end"/>
          </w:r>
          <w:r>
            <w:rPr>
              <w:rFonts w:hint="default"/>
            </w:rPr>
            <w:fldChar w:fldCharType="end"/>
          </w:r>
        </w:p>
        <w:p w14:paraId="3DBAB04E">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_Toc32649 </w:instrText>
          </w:r>
          <w:r>
            <w:rPr>
              <w:rFonts w:hint="default"/>
            </w:rPr>
            <w:fldChar w:fldCharType="separate"/>
          </w:r>
          <w:r>
            <w:rPr>
              <w:rFonts w:hint="default"/>
              <w:lang w:val="en-US" w:eastAsia="zh-CN"/>
            </w:rPr>
            <w:t>5.4.2 风险源整改</w:t>
          </w:r>
          <w:r>
            <w:tab/>
          </w:r>
          <w:r>
            <w:fldChar w:fldCharType="begin"/>
          </w:r>
          <w:r>
            <w:instrText xml:space="preserve"> PAGEREF _Toc32649 \h </w:instrText>
          </w:r>
          <w:r>
            <w:fldChar w:fldCharType="separate"/>
          </w:r>
          <w:r>
            <w:t>48</w:t>
          </w:r>
          <w:r>
            <w:fldChar w:fldCharType="end"/>
          </w:r>
          <w:r>
            <w:rPr>
              <w:rFonts w:hint="default"/>
            </w:rPr>
            <w:fldChar w:fldCharType="end"/>
          </w:r>
        </w:p>
        <w:p w14:paraId="5BF38CC1">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_Toc6591 </w:instrText>
          </w:r>
          <w:r>
            <w:rPr>
              <w:rFonts w:hint="default"/>
            </w:rPr>
            <w:fldChar w:fldCharType="separate"/>
          </w:r>
          <w:r>
            <w:rPr>
              <w:rFonts w:hint="default"/>
            </w:rPr>
            <w:t>第六章</w:t>
          </w:r>
          <w:r>
            <w:rPr>
              <w:rFonts w:hint="default"/>
              <w:lang w:val="en-US" w:eastAsia="zh-CN"/>
            </w:rPr>
            <w:t xml:space="preserve"> </w:t>
          </w:r>
          <w:r>
            <w:rPr>
              <w:rFonts w:hint="default"/>
            </w:rPr>
            <w:t>应急保障</w:t>
          </w:r>
          <w:r>
            <w:tab/>
          </w:r>
          <w:r>
            <w:fldChar w:fldCharType="begin"/>
          </w:r>
          <w:r>
            <w:instrText xml:space="preserve"> PAGEREF _Toc6591 \h </w:instrText>
          </w:r>
          <w:r>
            <w:fldChar w:fldCharType="separate"/>
          </w:r>
          <w:r>
            <w:t>49</w:t>
          </w:r>
          <w:r>
            <w:fldChar w:fldCharType="end"/>
          </w:r>
          <w:r>
            <w:rPr>
              <w:rFonts w:hint="default"/>
            </w:rPr>
            <w:fldChar w:fldCharType="end"/>
          </w:r>
        </w:p>
        <w:p w14:paraId="4422B279">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_Toc30780 </w:instrText>
          </w:r>
          <w:r>
            <w:rPr>
              <w:rFonts w:hint="default"/>
            </w:rPr>
            <w:fldChar w:fldCharType="separate"/>
          </w:r>
          <w:r>
            <w:rPr>
              <w:rFonts w:hint="default"/>
              <w:lang w:val="en-US" w:eastAsia="zh-CN"/>
            </w:rPr>
            <w:t>6.1 通信与信息保障</w:t>
          </w:r>
          <w:r>
            <w:tab/>
          </w:r>
          <w:r>
            <w:fldChar w:fldCharType="begin"/>
          </w:r>
          <w:r>
            <w:instrText xml:space="preserve"> PAGEREF _Toc30780 \h </w:instrText>
          </w:r>
          <w:r>
            <w:fldChar w:fldCharType="separate"/>
          </w:r>
          <w:r>
            <w:t>49</w:t>
          </w:r>
          <w:r>
            <w:fldChar w:fldCharType="end"/>
          </w:r>
          <w:r>
            <w:rPr>
              <w:rFonts w:hint="default"/>
            </w:rPr>
            <w:fldChar w:fldCharType="end"/>
          </w:r>
        </w:p>
        <w:p w14:paraId="0E4DFB4A">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_Toc411 </w:instrText>
          </w:r>
          <w:r>
            <w:rPr>
              <w:rFonts w:hint="default"/>
            </w:rPr>
            <w:fldChar w:fldCharType="separate"/>
          </w:r>
          <w:r>
            <w:rPr>
              <w:rFonts w:hint="default"/>
              <w:lang w:val="en-US" w:eastAsia="zh-CN"/>
            </w:rPr>
            <w:t>6.2 应急队伍保障</w:t>
          </w:r>
          <w:r>
            <w:tab/>
          </w:r>
          <w:r>
            <w:fldChar w:fldCharType="begin"/>
          </w:r>
          <w:r>
            <w:instrText xml:space="preserve"> PAGEREF _Toc411 \h </w:instrText>
          </w:r>
          <w:r>
            <w:fldChar w:fldCharType="separate"/>
          </w:r>
          <w:r>
            <w:t>49</w:t>
          </w:r>
          <w:r>
            <w:fldChar w:fldCharType="end"/>
          </w:r>
          <w:r>
            <w:rPr>
              <w:rFonts w:hint="default"/>
            </w:rPr>
            <w:fldChar w:fldCharType="end"/>
          </w:r>
        </w:p>
        <w:p w14:paraId="79A19DD1">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_Toc12902 </w:instrText>
          </w:r>
          <w:r>
            <w:rPr>
              <w:rFonts w:hint="default"/>
            </w:rPr>
            <w:fldChar w:fldCharType="separate"/>
          </w:r>
          <w:r>
            <w:rPr>
              <w:rFonts w:hint="default"/>
              <w:lang w:val="en-US" w:eastAsia="zh-CN"/>
            </w:rPr>
            <w:t>6.3 应急资源保障</w:t>
          </w:r>
          <w:r>
            <w:tab/>
          </w:r>
          <w:r>
            <w:fldChar w:fldCharType="begin"/>
          </w:r>
          <w:r>
            <w:instrText xml:space="preserve"> PAGEREF _Toc12902 \h </w:instrText>
          </w:r>
          <w:r>
            <w:fldChar w:fldCharType="separate"/>
          </w:r>
          <w:r>
            <w:t>49</w:t>
          </w:r>
          <w:r>
            <w:fldChar w:fldCharType="end"/>
          </w:r>
          <w:r>
            <w:rPr>
              <w:rFonts w:hint="default"/>
            </w:rPr>
            <w:fldChar w:fldCharType="end"/>
          </w:r>
        </w:p>
        <w:p w14:paraId="24DFE9B0">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_Toc18174 </w:instrText>
          </w:r>
          <w:r>
            <w:rPr>
              <w:rFonts w:hint="default"/>
            </w:rPr>
            <w:fldChar w:fldCharType="separate"/>
          </w:r>
          <w:r>
            <w:rPr>
              <w:rFonts w:hint="default"/>
              <w:lang w:val="en-US" w:eastAsia="zh-CN"/>
            </w:rPr>
            <w:t>6.4 经费保障</w:t>
          </w:r>
          <w:r>
            <w:tab/>
          </w:r>
          <w:r>
            <w:fldChar w:fldCharType="begin"/>
          </w:r>
          <w:r>
            <w:instrText xml:space="preserve"> PAGEREF _Toc18174 \h </w:instrText>
          </w:r>
          <w:r>
            <w:fldChar w:fldCharType="separate"/>
          </w:r>
          <w:r>
            <w:t>50</w:t>
          </w:r>
          <w:r>
            <w:fldChar w:fldCharType="end"/>
          </w:r>
          <w:r>
            <w:rPr>
              <w:rFonts w:hint="default"/>
            </w:rPr>
            <w:fldChar w:fldCharType="end"/>
          </w:r>
        </w:p>
        <w:p w14:paraId="51268685">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_Toc11068 </w:instrText>
          </w:r>
          <w:r>
            <w:rPr>
              <w:rFonts w:hint="default"/>
            </w:rPr>
            <w:fldChar w:fldCharType="separate"/>
          </w:r>
          <w:r>
            <w:rPr>
              <w:rFonts w:hint="default"/>
              <w:lang w:val="en-US" w:eastAsia="zh-CN"/>
            </w:rPr>
            <w:t>6.5 技术保障</w:t>
          </w:r>
          <w:r>
            <w:tab/>
          </w:r>
          <w:r>
            <w:fldChar w:fldCharType="begin"/>
          </w:r>
          <w:r>
            <w:instrText xml:space="preserve"> PAGEREF _Toc11068 \h </w:instrText>
          </w:r>
          <w:r>
            <w:fldChar w:fldCharType="separate"/>
          </w:r>
          <w:r>
            <w:t>50</w:t>
          </w:r>
          <w:r>
            <w:fldChar w:fldCharType="end"/>
          </w:r>
          <w:r>
            <w:rPr>
              <w:rFonts w:hint="default"/>
            </w:rPr>
            <w:fldChar w:fldCharType="end"/>
          </w:r>
        </w:p>
        <w:p w14:paraId="78802460">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_Toc5027 </w:instrText>
          </w:r>
          <w:r>
            <w:rPr>
              <w:rFonts w:hint="default"/>
            </w:rPr>
            <w:fldChar w:fldCharType="separate"/>
          </w:r>
          <w:r>
            <w:rPr>
              <w:rFonts w:hint="default"/>
              <w:lang w:val="en-US" w:eastAsia="zh-CN"/>
            </w:rPr>
            <w:t>6.6 其它保障</w:t>
          </w:r>
          <w:r>
            <w:tab/>
          </w:r>
          <w:r>
            <w:fldChar w:fldCharType="begin"/>
          </w:r>
          <w:r>
            <w:instrText xml:space="preserve"> PAGEREF _Toc5027 \h </w:instrText>
          </w:r>
          <w:r>
            <w:fldChar w:fldCharType="separate"/>
          </w:r>
          <w:r>
            <w:t>50</w:t>
          </w:r>
          <w:r>
            <w:fldChar w:fldCharType="end"/>
          </w:r>
          <w:r>
            <w:rPr>
              <w:rFonts w:hint="default"/>
            </w:rPr>
            <w:fldChar w:fldCharType="end"/>
          </w:r>
        </w:p>
        <w:p w14:paraId="6DD27FA8">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_Toc27002 </w:instrText>
          </w:r>
          <w:r>
            <w:rPr>
              <w:rFonts w:hint="default"/>
            </w:rPr>
            <w:fldChar w:fldCharType="separate"/>
          </w:r>
          <w:r>
            <w:rPr>
              <w:rFonts w:hint="eastAsia" w:ascii="Times New Roman" w:hAnsi="Times New Roman" w:eastAsia="仿宋" w:cs="Times New Roman"/>
              <w:bCs/>
              <w:kern w:val="44"/>
              <w:szCs w:val="32"/>
              <w:highlight w:val="none"/>
              <w:lang w:val="en-US" w:eastAsia="zh-CN" w:bidi="ar"/>
            </w:rPr>
            <w:t>第七章 监督管理</w:t>
          </w:r>
          <w:r>
            <w:tab/>
          </w:r>
          <w:r>
            <w:fldChar w:fldCharType="begin"/>
          </w:r>
          <w:r>
            <w:instrText xml:space="preserve"> PAGEREF _Toc27002 \h </w:instrText>
          </w:r>
          <w:r>
            <w:fldChar w:fldCharType="separate"/>
          </w:r>
          <w:r>
            <w:t>52</w:t>
          </w:r>
          <w:r>
            <w:fldChar w:fldCharType="end"/>
          </w:r>
          <w:r>
            <w:rPr>
              <w:rFonts w:hint="default"/>
            </w:rPr>
            <w:fldChar w:fldCharType="end"/>
          </w:r>
        </w:p>
        <w:p w14:paraId="3889EB86">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_Toc3966 </w:instrText>
          </w:r>
          <w:r>
            <w:rPr>
              <w:rFonts w:hint="default"/>
            </w:rPr>
            <w:fldChar w:fldCharType="separate"/>
          </w:r>
          <w:r>
            <w:rPr>
              <w:rFonts w:hint="eastAsia" w:ascii="Times New Roman" w:hAnsi="Times New Roman" w:eastAsia="仿宋" w:cs="Times New Roman"/>
              <w:bCs/>
              <w:kern w:val="2"/>
              <w:szCs w:val="30"/>
              <w:highlight w:val="none"/>
              <w:lang w:val="en-US" w:eastAsia="zh-CN" w:bidi="ar-SA"/>
            </w:rPr>
            <w:t>7.1宣传与培训</w:t>
          </w:r>
          <w:r>
            <w:tab/>
          </w:r>
          <w:r>
            <w:fldChar w:fldCharType="begin"/>
          </w:r>
          <w:r>
            <w:instrText xml:space="preserve"> PAGEREF _Toc3966 \h </w:instrText>
          </w:r>
          <w:r>
            <w:fldChar w:fldCharType="separate"/>
          </w:r>
          <w:r>
            <w:t>52</w:t>
          </w:r>
          <w:r>
            <w:fldChar w:fldCharType="end"/>
          </w:r>
          <w:r>
            <w:rPr>
              <w:rFonts w:hint="default"/>
            </w:rPr>
            <w:fldChar w:fldCharType="end"/>
          </w:r>
        </w:p>
        <w:p w14:paraId="4E0682AC">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_Toc26826 </w:instrText>
          </w:r>
          <w:r>
            <w:rPr>
              <w:rFonts w:hint="default"/>
            </w:rPr>
            <w:fldChar w:fldCharType="separate"/>
          </w:r>
          <w:r>
            <w:rPr>
              <w:rFonts w:hint="eastAsia" w:ascii="Times New Roman" w:hAnsi="Times New Roman" w:eastAsia="仿宋" w:cs="Times New Roman"/>
              <w:bCs/>
              <w:kern w:val="2"/>
              <w:szCs w:val="30"/>
              <w:highlight w:val="none"/>
              <w:lang w:val="en-US" w:eastAsia="zh-CN" w:bidi="ar-SA"/>
            </w:rPr>
            <w:t>7.2应急演练</w:t>
          </w:r>
          <w:r>
            <w:tab/>
          </w:r>
          <w:r>
            <w:fldChar w:fldCharType="begin"/>
          </w:r>
          <w:r>
            <w:instrText xml:space="preserve"> PAGEREF _Toc26826 \h </w:instrText>
          </w:r>
          <w:r>
            <w:fldChar w:fldCharType="separate"/>
          </w:r>
          <w:r>
            <w:t>52</w:t>
          </w:r>
          <w:r>
            <w:fldChar w:fldCharType="end"/>
          </w:r>
          <w:r>
            <w:rPr>
              <w:rFonts w:hint="default"/>
            </w:rPr>
            <w:fldChar w:fldCharType="end"/>
          </w:r>
        </w:p>
        <w:p w14:paraId="624EC74B">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_Toc29966 </w:instrText>
          </w:r>
          <w:r>
            <w:rPr>
              <w:rFonts w:hint="default"/>
            </w:rPr>
            <w:fldChar w:fldCharType="separate"/>
          </w:r>
          <w:r>
            <w:rPr>
              <w:rFonts w:hint="eastAsia" w:ascii="Times New Roman" w:hAnsi="Times New Roman" w:eastAsia="仿宋" w:cs="Times New Roman"/>
              <w:bCs/>
              <w:kern w:val="2"/>
              <w:szCs w:val="30"/>
              <w:highlight w:val="none"/>
              <w:lang w:val="en-US" w:eastAsia="zh-CN" w:bidi="ar-SA"/>
            </w:rPr>
            <w:t>7.3奖惩</w:t>
          </w:r>
          <w:r>
            <w:tab/>
          </w:r>
          <w:r>
            <w:fldChar w:fldCharType="begin"/>
          </w:r>
          <w:r>
            <w:instrText xml:space="preserve"> PAGEREF _Toc29966 \h </w:instrText>
          </w:r>
          <w:r>
            <w:fldChar w:fldCharType="separate"/>
          </w:r>
          <w:r>
            <w:t>54</w:t>
          </w:r>
          <w:r>
            <w:fldChar w:fldCharType="end"/>
          </w:r>
          <w:r>
            <w:rPr>
              <w:rFonts w:hint="default"/>
            </w:rPr>
            <w:fldChar w:fldCharType="end"/>
          </w:r>
        </w:p>
        <w:p w14:paraId="1C411F79">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_Toc22849 </w:instrText>
          </w:r>
          <w:r>
            <w:rPr>
              <w:rFonts w:hint="default"/>
            </w:rPr>
            <w:fldChar w:fldCharType="separate"/>
          </w:r>
          <w:r>
            <w:rPr>
              <w:rFonts w:hint="eastAsia" w:ascii="Times New Roman" w:hAnsi="Times New Roman" w:eastAsia="仿宋" w:cs="Times New Roman"/>
              <w:bCs/>
              <w:kern w:val="2"/>
              <w:szCs w:val="28"/>
              <w:highlight w:val="none"/>
              <w:lang w:val="en-US" w:eastAsia="zh-CN" w:bidi="ar-SA"/>
            </w:rPr>
            <w:t>7.3.1奖励</w:t>
          </w:r>
          <w:r>
            <w:tab/>
          </w:r>
          <w:r>
            <w:fldChar w:fldCharType="begin"/>
          </w:r>
          <w:r>
            <w:instrText xml:space="preserve"> PAGEREF _Toc22849 \h </w:instrText>
          </w:r>
          <w:r>
            <w:fldChar w:fldCharType="separate"/>
          </w:r>
          <w:r>
            <w:t>54</w:t>
          </w:r>
          <w:r>
            <w:fldChar w:fldCharType="end"/>
          </w:r>
          <w:r>
            <w:rPr>
              <w:rFonts w:hint="default"/>
            </w:rPr>
            <w:fldChar w:fldCharType="end"/>
          </w:r>
        </w:p>
        <w:p w14:paraId="0D869CC8">
          <w:pPr>
            <w:pStyle w:val="10"/>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_Toc23898 </w:instrText>
          </w:r>
          <w:r>
            <w:rPr>
              <w:rFonts w:hint="default"/>
            </w:rPr>
            <w:fldChar w:fldCharType="separate"/>
          </w:r>
          <w:r>
            <w:rPr>
              <w:rFonts w:hint="eastAsia" w:ascii="Times New Roman" w:hAnsi="Times New Roman" w:eastAsia="仿宋" w:cs="Times New Roman"/>
              <w:bCs/>
              <w:kern w:val="2"/>
              <w:szCs w:val="28"/>
              <w:highlight w:val="none"/>
              <w:lang w:val="en-US" w:eastAsia="zh-CN" w:bidi="ar-SA"/>
            </w:rPr>
            <w:t>7.3.2惩罚</w:t>
          </w:r>
          <w:r>
            <w:tab/>
          </w:r>
          <w:r>
            <w:fldChar w:fldCharType="begin"/>
          </w:r>
          <w:r>
            <w:instrText xml:space="preserve"> PAGEREF _Toc23898 \h </w:instrText>
          </w:r>
          <w:r>
            <w:fldChar w:fldCharType="separate"/>
          </w:r>
          <w:r>
            <w:t>54</w:t>
          </w:r>
          <w:r>
            <w:fldChar w:fldCharType="end"/>
          </w:r>
          <w:r>
            <w:rPr>
              <w:rFonts w:hint="default"/>
            </w:rPr>
            <w:fldChar w:fldCharType="end"/>
          </w:r>
        </w:p>
        <w:p w14:paraId="0BB50722">
          <w:pPr>
            <w:pStyle w:val="14"/>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_Toc7143 </w:instrText>
          </w:r>
          <w:r>
            <w:rPr>
              <w:rFonts w:hint="default"/>
            </w:rPr>
            <w:fldChar w:fldCharType="separate"/>
          </w:r>
          <w:r>
            <w:rPr>
              <w:rFonts w:hint="default"/>
            </w:rPr>
            <w:t>第</w:t>
          </w:r>
          <w:r>
            <w:rPr>
              <w:rFonts w:hint="eastAsia"/>
              <w:lang w:val="en-US" w:eastAsia="zh-CN"/>
            </w:rPr>
            <w:t>八</w:t>
          </w:r>
          <w:r>
            <w:rPr>
              <w:rFonts w:hint="default"/>
            </w:rPr>
            <w:t>章</w:t>
          </w:r>
          <w:r>
            <w:rPr>
              <w:rFonts w:hint="default"/>
              <w:lang w:val="en-US" w:eastAsia="zh-CN"/>
            </w:rPr>
            <w:t xml:space="preserve"> </w:t>
          </w:r>
          <w:r>
            <w:rPr>
              <w:rFonts w:hint="default"/>
            </w:rPr>
            <w:t>附则</w:t>
          </w:r>
          <w:r>
            <w:tab/>
          </w:r>
          <w:r>
            <w:fldChar w:fldCharType="begin"/>
          </w:r>
          <w:r>
            <w:instrText xml:space="preserve"> PAGEREF _Toc7143 \h </w:instrText>
          </w:r>
          <w:r>
            <w:fldChar w:fldCharType="separate"/>
          </w:r>
          <w:r>
            <w:t>55</w:t>
          </w:r>
          <w:r>
            <w:fldChar w:fldCharType="end"/>
          </w:r>
          <w:r>
            <w:rPr>
              <w:rFonts w:hint="default"/>
            </w:rPr>
            <w:fldChar w:fldCharType="end"/>
          </w:r>
        </w:p>
        <w:p w14:paraId="6B2DAB8F">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_Toc10468 </w:instrText>
          </w:r>
          <w:r>
            <w:rPr>
              <w:rFonts w:hint="default"/>
            </w:rPr>
            <w:fldChar w:fldCharType="separate"/>
          </w:r>
          <w:r>
            <w:rPr>
              <w:rFonts w:hint="eastAsia"/>
              <w:lang w:val="en-US" w:eastAsia="zh-CN"/>
            </w:rPr>
            <w:t>8</w:t>
          </w:r>
          <w:r>
            <w:rPr>
              <w:rFonts w:hint="default"/>
              <w:lang w:val="en-US" w:eastAsia="zh-CN"/>
            </w:rPr>
            <w:t>.1 名词术语</w:t>
          </w:r>
          <w:r>
            <w:tab/>
          </w:r>
          <w:r>
            <w:fldChar w:fldCharType="begin"/>
          </w:r>
          <w:r>
            <w:instrText xml:space="preserve"> PAGEREF _Toc10468 \h </w:instrText>
          </w:r>
          <w:r>
            <w:fldChar w:fldCharType="separate"/>
          </w:r>
          <w:r>
            <w:t>55</w:t>
          </w:r>
          <w:r>
            <w:fldChar w:fldCharType="end"/>
          </w:r>
          <w:r>
            <w:rPr>
              <w:rFonts w:hint="default"/>
            </w:rPr>
            <w:fldChar w:fldCharType="end"/>
          </w:r>
        </w:p>
        <w:p w14:paraId="26A6A10B">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_Toc27755 </w:instrText>
          </w:r>
          <w:r>
            <w:rPr>
              <w:rFonts w:hint="default"/>
            </w:rPr>
            <w:fldChar w:fldCharType="separate"/>
          </w:r>
          <w:r>
            <w:rPr>
              <w:rFonts w:hint="eastAsia"/>
              <w:lang w:val="en-US" w:eastAsia="zh-CN"/>
            </w:rPr>
            <w:t>8</w:t>
          </w:r>
          <w:r>
            <w:rPr>
              <w:rFonts w:hint="default"/>
              <w:lang w:val="en-US" w:eastAsia="zh-CN"/>
            </w:rPr>
            <w:t>.2预案制定和解释权属</w:t>
          </w:r>
          <w:r>
            <w:tab/>
          </w:r>
          <w:r>
            <w:fldChar w:fldCharType="begin"/>
          </w:r>
          <w:r>
            <w:instrText xml:space="preserve"> PAGEREF _Toc27755 \h </w:instrText>
          </w:r>
          <w:r>
            <w:fldChar w:fldCharType="separate"/>
          </w:r>
          <w:r>
            <w:t>56</w:t>
          </w:r>
          <w:r>
            <w:fldChar w:fldCharType="end"/>
          </w:r>
          <w:r>
            <w:rPr>
              <w:rFonts w:hint="default"/>
            </w:rPr>
            <w:fldChar w:fldCharType="end"/>
          </w:r>
        </w:p>
        <w:p w14:paraId="21933873">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_Toc21776 </w:instrText>
          </w:r>
          <w:r>
            <w:rPr>
              <w:rFonts w:hint="default"/>
            </w:rPr>
            <w:fldChar w:fldCharType="separate"/>
          </w:r>
          <w:r>
            <w:rPr>
              <w:rFonts w:hint="eastAsia"/>
              <w:lang w:val="en-US" w:eastAsia="zh-CN"/>
            </w:rPr>
            <w:t>8</w:t>
          </w:r>
          <w:r>
            <w:rPr>
              <w:rFonts w:hint="default"/>
              <w:lang w:val="en-US" w:eastAsia="zh-CN"/>
            </w:rPr>
            <w:t>.3预案的评估与修订</w:t>
          </w:r>
          <w:r>
            <w:tab/>
          </w:r>
          <w:r>
            <w:fldChar w:fldCharType="begin"/>
          </w:r>
          <w:r>
            <w:instrText xml:space="preserve"> PAGEREF _Toc21776 \h </w:instrText>
          </w:r>
          <w:r>
            <w:fldChar w:fldCharType="separate"/>
          </w:r>
          <w:r>
            <w:t>56</w:t>
          </w:r>
          <w:r>
            <w:fldChar w:fldCharType="end"/>
          </w:r>
          <w:r>
            <w:rPr>
              <w:rFonts w:hint="default"/>
            </w:rPr>
            <w:fldChar w:fldCharType="end"/>
          </w:r>
        </w:p>
        <w:p w14:paraId="321604BF">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_Toc26981 </w:instrText>
          </w:r>
          <w:r>
            <w:rPr>
              <w:rFonts w:hint="default"/>
            </w:rPr>
            <w:fldChar w:fldCharType="separate"/>
          </w:r>
          <w:r>
            <w:rPr>
              <w:rFonts w:hint="eastAsia"/>
              <w:lang w:val="en-US" w:eastAsia="zh-CN"/>
            </w:rPr>
            <w:t>8</w:t>
          </w:r>
          <w:r>
            <w:rPr>
              <w:rFonts w:hint="default"/>
              <w:lang w:val="en-US" w:eastAsia="zh-CN"/>
            </w:rPr>
            <w:t>.4 实施日期</w:t>
          </w:r>
          <w:r>
            <w:tab/>
          </w:r>
          <w:r>
            <w:fldChar w:fldCharType="begin"/>
          </w:r>
          <w:r>
            <w:instrText xml:space="preserve"> PAGEREF _Toc26981 \h </w:instrText>
          </w:r>
          <w:r>
            <w:fldChar w:fldCharType="separate"/>
          </w:r>
          <w:r>
            <w:t>57</w:t>
          </w:r>
          <w:r>
            <w:fldChar w:fldCharType="end"/>
          </w:r>
          <w:r>
            <w:rPr>
              <w:rFonts w:hint="default"/>
            </w:rPr>
            <w:fldChar w:fldCharType="end"/>
          </w:r>
        </w:p>
        <w:p w14:paraId="73C3AC3A">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_Toc18890 </w:instrText>
          </w:r>
          <w:r>
            <w:rPr>
              <w:rFonts w:hint="default"/>
            </w:rPr>
            <w:fldChar w:fldCharType="separate"/>
          </w:r>
          <w:r>
            <w:rPr>
              <w:rFonts w:hint="eastAsia"/>
              <w:lang w:val="en-US" w:eastAsia="zh-CN"/>
            </w:rPr>
            <w:t>附图1：汾阳市地理位置区域图</w:t>
          </w:r>
          <w:r>
            <w:tab/>
          </w:r>
          <w:r>
            <w:fldChar w:fldCharType="begin"/>
          </w:r>
          <w:r>
            <w:instrText xml:space="preserve"> PAGEREF _Toc18890 \h </w:instrText>
          </w:r>
          <w:r>
            <w:fldChar w:fldCharType="separate"/>
          </w:r>
          <w:r>
            <w:t>58</w:t>
          </w:r>
          <w:r>
            <w:fldChar w:fldCharType="end"/>
          </w:r>
          <w:r>
            <w:rPr>
              <w:rFonts w:hint="default"/>
            </w:rPr>
            <w:fldChar w:fldCharType="end"/>
          </w:r>
        </w:p>
        <w:p w14:paraId="05E093B0">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_Toc30687 </w:instrText>
          </w:r>
          <w:r>
            <w:rPr>
              <w:rFonts w:hint="default"/>
            </w:rPr>
            <w:fldChar w:fldCharType="separate"/>
          </w:r>
          <w:r>
            <w:rPr>
              <w:rFonts w:hint="eastAsia"/>
              <w:lang w:val="en-US" w:eastAsia="zh-CN"/>
            </w:rPr>
            <w:t>附图2：汾阳市地表水系图</w:t>
          </w:r>
          <w:r>
            <w:tab/>
          </w:r>
          <w:r>
            <w:fldChar w:fldCharType="begin"/>
          </w:r>
          <w:r>
            <w:instrText xml:space="preserve"> PAGEREF _Toc30687 \h </w:instrText>
          </w:r>
          <w:r>
            <w:fldChar w:fldCharType="separate"/>
          </w:r>
          <w:r>
            <w:t>59</w:t>
          </w:r>
          <w:r>
            <w:fldChar w:fldCharType="end"/>
          </w:r>
          <w:r>
            <w:rPr>
              <w:rFonts w:hint="default"/>
            </w:rPr>
            <w:fldChar w:fldCharType="end"/>
          </w:r>
        </w:p>
        <w:p w14:paraId="3970C995">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_Toc18813 </w:instrText>
          </w:r>
          <w:r>
            <w:rPr>
              <w:rFonts w:hint="default"/>
            </w:rPr>
            <w:fldChar w:fldCharType="separate"/>
          </w:r>
          <w:r>
            <w:rPr>
              <w:rFonts w:hint="eastAsia"/>
              <w:lang w:val="en-US" w:eastAsia="zh-CN"/>
            </w:rPr>
            <w:t>附件1：应急组织体系图</w:t>
          </w:r>
          <w:r>
            <w:tab/>
          </w:r>
          <w:r>
            <w:fldChar w:fldCharType="begin"/>
          </w:r>
          <w:r>
            <w:instrText xml:space="preserve"> PAGEREF _Toc18813 \h </w:instrText>
          </w:r>
          <w:r>
            <w:fldChar w:fldCharType="separate"/>
          </w:r>
          <w:r>
            <w:t>60</w:t>
          </w:r>
          <w:r>
            <w:fldChar w:fldCharType="end"/>
          </w:r>
          <w:r>
            <w:rPr>
              <w:rFonts w:hint="default"/>
            </w:rPr>
            <w:fldChar w:fldCharType="end"/>
          </w:r>
        </w:p>
        <w:p w14:paraId="4427E436">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_Toc9217 </w:instrText>
          </w:r>
          <w:r>
            <w:rPr>
              <w:rFonts w:hint="default"/>
            </w:rPr>
            <w:fldChar w:fldCharType="separate"/>
          </w:r>
          <w:r>
            <w:rPr>
              <w:rFonts w:hint="default"/>
              <w:lang w:val="en-US" w:eastAsia="zh-CN"/>
            </w:rPr>
            <w:t>附件2：饮用水水源地突发环境事件应急响应工作路线图</w:t>
          </w:r>
          <w:r>
            <w:tab/>
          </w:r>
          <w:r>
            <w:fldChar w:fldCharType="begin"/>
          </w:r>
          <w:r>
            <w:instrText xml:space="preserve"> PAGEREF _Toc9217 \h </w:instrText>
          </w:r>
          <w:r>
            <w:fldChar w:fldCharType="separate"/>
          </w:r>
          <w:r>
            <w:t>61</w:t>
          </w:r>
          <w:r>
            <w:fldChar w:fldCharType="end"/>
          </w:r>
          <w:r>
            <w:rPr>
              <w:rFonts w:hint="default"/>
            </w:rPr>
            <w:fldChar w:fldCharType="end"/>
          </w:r>
        </w:p>
        <w:p w14:paraId="3D24183C">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_Toc15759 </w:instrText>
          </w:r>
          <w:r>
            <w:rPr>
              <w:rFonts w:hint="default"/>
            </w:rPr>
            <w:fldChar w:fldCharType="separate"/>
          </w:r>
          <w:r>
            <w:rPr>
              <w:rFonts w:hint="default"/>
              <w:lang w:val="en-US" w:eastAsia="zh-CN"/>
            </w:rPr>
            <w:t>附件</w:t>
          </w:r>
          <w:r>
            <w:rPr>
              <w:rFonts w:hint="eastAsia"/>
              <w:lang w:val="en-US" w:eastAsia="zh-CN"/>
            </w:rPr>
            <w:t>3</w:t>
          </w:r>
          <w:r>
            <w:rPr>
              <w:rFonts w:hint="default"/>
              <w:lang w:val="en-US" w:eastAsia="zh-CN"/>
            </w:rPr>
            <w:t>：培训、宣传与演练</w:t>
          </w:r>
          <w:r>
            <w:tab/>
          </w:r>
          <w:r>
            <w:fldChar w:fldCharType="begin"/>
          </w:r>
          <w:r>
            <w:instrText xml:space="preserve"> PAGEREF _Toc15759 \h </w:instrText>
          </w:r>
          <w:r>
            <w:fldChar w:fldCharType="separate"/>
          </w:r>
          <w:r>
            <w:t>62</w:t>
          </w:r>
          <w:r>
            <w:fldChar w:fldCharType="end"/>
          </w:r>
          <w:r>
            <w:rPr>
              <w:rFonts w:hint="default"/>
            </w:rPr>
            <w:fldChar w:fldCharType="end"/>
          </w:r>
        </w:p>
        <w:p w14:paraId="0044B892">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_Toc28673 </w:instrText>
          </w:r>
          <w:r>
            <w:rPr>
              <w:rFonts w:hint="default"/>
            </w:rPr>
            <w:fldChar w:fldCharType="separate"/>
          </w:r>
          <w:r>
            <w:rPr>
              <w:rFonts w:hint="default"/>
              <w:lang w:val="en-US" w:eastAsia="zh-CN"/>
            </w:rPr>
            <w:t xml:space="preserve">附件 </w:t>
          </w:r>
          <w:r>
            <w:rPr>
              <w:rFonts w:hint="eastAsia"/>
              <w:lang w:val="en-US" w:eastAsia="zh-CN"/>
            </w:rPr>
            <w:t>4</w:t>
          </w:r>
          <w:r>
            <w:rPr>
              <w:rFonts w:hint="default"/>
              <w:lang w:val="en-US" w:eastAsia="zh-CN"/>
            </w:rPr>
            <w:t>：水质超标指标控制和处理技术推荐表</w:t>
          </w:r>
          <w:r>
            <w:tab/>
          </w:r>
          <w:r>
            <w:fldChar w:fldCharType="begin"/>
          </w:r>
          <w:r>
            <w:instrText xml:space="preserve"> PAGEREF _Toc28673 \h </w:instrText>
          </w:r>
          <w:r>
            <w:fldChar w:fldCharType="separate"/>
          </w:r>
          <w:r>
            <w:t>65</w:t>
          </w:r>
          <w:r>
            <w:fldChar w:fldCharType="end"/>
          </w:r>
          <w:r>
            <w:rPr>
              <w:rFonts w:hint="default"/>
            </w:rPr>
            <w:fldChar w:fldCharType="end"/>
          </w:r>
        </w:p>
        <w:p w14:paraId="3C4E66D5">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_Toc11272 </w:instrText>
          </w:r>
          <w:r>
            <w:rPr>
              <w:rFonts w:hint="default"/>
            </w:rPr>
            <w:fldChar w:fldCharType="separate"/>
          </w:r>
          <w:r>
            <w:rPr>
              <w:rFonts w:hint="default"/>
              <w:lang w:val="en-US" w:eastAsia="zh-CN"/>
            </w:rPr>
            <w:t xml:space="preserve">附件 </w:t>
          </w:r>
          <w:r>
            <w:rPr>
              <w:rFonts w:hint="eastAsia"/>
              <w:lang w:val="en-US" w:eastAsia="zh-CN"/>
            </w:rPr>
            <w:t>5</w:t>
          </w:r>
          <w:r>
            <w:rPr>
              <w:rFonts w:hint="default"/>
              <w:lang w:val="en-US" w:eastAsia="zh-CN"/>
            </w:rPr>
            <w:t>：常见化学品引发水污染事故的简要处置方法</w:t>
          </w:r>
          <w:r>
            <w:tab/>
          </w:r>
          <w:r>
            <w:fldChar w:fldCharType="begin"/>
          </w:r>
          <w:r>
            <w:instrText xml:space="preserve"> PAGEREF _Toc11272 \h </w:instrText>
          </w:r>
          <w:r>
            <w:fldChar w:fldCharType="separate"/>
          </w:r>
          <w:r>
            <w:t>66</w:t>
          </w:r>
          <w:r>
            <w:fldChar w:fldCharType="end"/>
          </w:r>
          <w:r>
            <w:rPr>
              <w:rFonts w:hint="default"/>
            </w:rPr>
            <w:fldChar w:fldCharType="end"/>
          </w:r>
        </w:p>
        <w:p w14:paraId="79165717">
          <w:pPr>
            <w:pStyle w:val="15"/>
            <w:keepNext w:val="0"/>
            <w:keepLines w:val="0"/>
            <w:pageBreakBefore w:val="0"/>
            <w:widowControl/>
            <w:tabs>
              <w:tab w:val="right" w:leader="dot" w:pos="8306"/>
            </w:tabs>
            <w:kinsoku/>
            <w:wordWrap/>
            <w:overflowPunct/>
            <w:topLinePunct w:val="0"/>
            <w:autoSpaceDE/>
            <w:autoSpaceDN/>
            <w:bidi w:val="0"/>
            <w:adjustRightInd w:val="0"/>
            <w:snapToGrid w:val="0"/>
            <w:spacing w:line="400" w:lineRule="exact"/>
            <w:textAlignment w:val="auto"/>
          </w:pPr>
          <w:r>
            <w:rPr>
              <w:rFonts w:hint="default"/>
            </w:rPr>
            <w:fldChar w:fldCharType="begin"/>
          </w:r>
          <w:r>
            <w:rPr>
              <w:rFonts w:hint="default"/>
            </w:rPr>
            <w:instrText xml:space="preserve"> HYPERLINK \l _Toc19411 </w:instrText>
          </w:r>
          <w:r>
            <w:rPr>
              <w:rFonts w:hint="default"/>
            </w:rPr>
            <w:fldChar w:fldCharType="separate"/>
          </w:r>
          <w:r>
            <w:rPr>
              <w:rFonts w:hint="eastAsia" w:ascii="Times New Roman" w:hAnsi="Times New Roman"/>
              <w:lang w:val="en-US" w:eastAsia="zh-CN"/>
            </w:rPr>
            <w:t>附件6：</w:t>
          </w:r>
          <w:r>
            <w:rPr>
              <w:rFonts w:hint="eastAsia"/>
              <w:lang w:val="en-US" w:eastAsia="zh-CN"/>
            </w:rPr>
            <w:t>技术审查意见</w:t>
          </w:r>
          <w:r>
            <w:tab/>
          </w:r>
          <w:r>
            <w:fldChar w:fldCharType="begin"/>
          </w:r>
          <w:r>
            <w:instrText xml:space="preserve"> PAGEREF _Toc19411 \h </w:instrText>
          </w:r>
          <w:r>
            <w:fldChar w:fldCharType="separate"/>
          </w:r>
          <w:r>
            <w:t>70</w:t>
          </w:r>
          <w:r>
            <w:fldChar w:fldCharType="end"/>
          </w:r>
          <w:r>
            <w:rPr>
              <w:rFonts w:hint="default"/>
            </w:rPr>
            <w:fldChar w:fldCharType="end"/>
          </w:r>
        </w:p>
        <w:p w14:paraId="67B83F97">
          <w:pPr>
            <w:pStyle w:val="2"/>
            <w:pageBreakBefore w:val="0"/>
            <w:widowControl/>
            <w:kinsoku/>
            <w:wordWrap/>
            <w:overflowPunct/>
            <w:topLinePunct w:val="0"/>
            <w:autoSpaceDE/>
            <w:autoSpaceDN/>
            <w:bidi w:val="0"/>
            <w:adjustRightInd w:val="0"/>
            <w:snapToGrid w:val="0"/>
            <w:spacing w:line="400" w:lineRule="exact"/>
            <w:textAlignment w:val="auto"/>
            <w:rPr>
              <w:rFonts w:hint="default" w:ascii="Times New Roman" w:hAnsi="Times New Roman" w:eastAsia="仿宋" w:cs="微软雅黑"/>
              <w:b/>
              <w:color w:val="000000"/>
              <w:kern w:val="2"/>
              <w:sz w:val="36"/>
              <w:szCs w:val="24"/>
              <w:lang w:val="en-US" w:eastAsia="zh-CN" w:bidi="ar-SA"/>
            </w:rPr>
          </w:pPr>
          <w:r>
            <w:rPr>
              <w:rFonts w:hint="default"/>
            </w:rPr>
            <w:fldChar w:fldCharType="end"/>
          </w:r>
        </w:p>
      </w:sdtContent>
    </w:sdt>
    <w:p w14:paraId="2CC5B2CE">
      <w:pPr>
        <w:rPr>
          <w:rFonts w:hint="default"/>
        </w:rPr>
        <w:sectPr>
          <w:headerReference r:id="rId5" w:type="default"/>
          <w:footerReference r:id="rId6" w:type="default"/>
          <w:pgSz w:w="11906" w:h="16838"/>
          <w:pgMar w:top="1440" w:right="1800" w:bottom="1440" w:left="180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73E038B5">
      <w:pPr>
        <w:pStyle w:val="2"/>
        <w:bidi w:val="0"/>
        <w:rPr>
          <w:rFonts w:hint="default"/>
        </w:rPr>
      </w:pPr>
      <w:bookmarkStart w:id="5" w:name="_Toc9233"/>
      <w:r>
        <w:rPr>
          <w:rFonts w:hint="default"/>
        </w:rPr>
        <w:t>第一章</w:t>
      </w:r>
      <w:r>
        <w:rPr>
          <w:rFonts w:hint="default"/>
          <w:lang w:val="en-US" w:eastAsia="zh-CN"/>
        </w:rPr>
        <w:t xml:space="preserve"> </w:t>
      </w:r>
      <w:r>
        <w:rPr>
          <w:rFonts w:hint="default"/>
        </w:rPr>
        <w:t>总则</w:t>
      </w:r>
      <w:bookmarkEnd w:id="5"/>
    </w:p>
    <w:p w14:paraId="732D6F79">
      <w:pPr>
        <w:pStyle w:val="3"/>
        <w:bidi w:val="0"/>
        <w:rPr>
          <w:rFonts w:hint="default"/>
        </w:rPr>
      </w:pPr>
      <w:bookmarkStart w:id="6" w:name="_Toc32253"/>
      <w:bookmarkStart w:id="7" w:name="_Toc19739"/>
      <w:r>
        <w:rPr>
          <w:rFonts w:hint="default"/>
        </w:rPr>
        <w:t>1.1 编制目的</w:t>
      </w:r>
      <w:bookmarkEnd w:id="6"/>
      <w:bookmarkEnd w:id="7"/>
      <w:r>
        <w:rPr>
          <w:rFonts w:hint="default"/>
        </w:rPr>
        <w:t xml:space="preserve"> </w:t>
      </w:r>
    </w:p>
    <w:p w14:paraId="178C03E5">
      <w:pPr>
        <w:bidi w:val="0"/>
        <w:rPr>
          <w:rFonts w:hint="default"/>
        </w:rPr>
      </w:pPr>
      <w:r>
        <w:rPr>
          <w:rFonts w:hint="default"/>
        </w:rPr>
        <w:t>为切实做好</w:t>
      </w:r>
      <w:r>
        <w:rPr>
          <w:rFonts w:hint="eastAsia"/>
          <w:lang w:eastAsia="zh-CN"/>
        </w:rPr>
        <w:t>汾阳市10处乡镇集中式饮用水水源地</w:t>
      </w:r>
      <w:r>
        <w:rPr>
          <w:rFonts w:hint="default"/>
        </w:rPr>
        <w:t>污染防治工作，建立健全</w:t>
      </w:r>
      <w:r>
        <w:rPr>
          <w:rFonts w:hint="eastAsia"/>
          <w:lang w:eastAsia="zh-CN"/>
        </w:rPr>
        <w:t>汾阳市</w:t>
      </w:r>
      <w:r>
        <w:rPr>
          <w:rFonts w:hint="default"/>
        </w:rPr>
        <w:t>应对饮用水水源地突发环境污染事件的应急机制，有效防范、及时控制和处置饮用水水源地突发环境事件，最大程度降低突发环境事件对水源地水质影响，确保居民饮水安全，保障人民群众生命健康和财产安全，维护社会稳定，特制定本预案。</w:t>
      </w:r>
    </w:p>
    <w:p w14:paraId="400A1CA9">
      <w:pPr>
        <w:pStyle w:val="3"/>
        <w:bidi w:val="0"/>
        <w:rPr>
          <w:rFonts w:hint="default"/>
        </w:rPr>
      </w:pPr>
      <w:bookmarkStart w:id="8" w:name="_Toc9872"/>
      <w:bookmarkStart w:id="9" w:name="_Toc19959"/>
      <w:r>
        <w:rPr>
          <w:rFonts w:hint="default"/>
        </w:rPr>
        <w:t>1.2 编制依据</w:t>
      </w:r>
      <w:bookmarkEnd w:id="8"/>
      <w:bookmarkEnd w:id="9"/>
      <w:r>
        <w:rPr>
          <w:rFonts w:hint="default"/>
        </w:rPr>
        <w:t xml:space="preserve"> </w:t>
      </w:r>
    </w:p>
    <w:p w14:paraId="54FBCF81">
      <w:pPr>
        <w:pStyle w:val="4"/>
        <w:bidi w:val="0"/>
        <w:rPr>
          <w:rFonts w:hint="default"/>
        </w:rPr>
      </w:pPr>
      <w:bookmarkStart w:id="10" w:name="_Toc30952"/>
      <w:r>
        <w:rPr>
          <w:rFonts w:hint="default"/>
        </w:rPr>
        <w:t>1.2.1 相关法律法规</w:t>
      </w:r>
      <w:bookmarkEnd w:id="10"/>
      <w:r>
        <w:rPr>
          <w:rFonts w:hint="default"/>
        </w:rPr>
        <w:t xml:space="preserve"> </w:t>
      </w:r>
    </w:p>
    <w:p w14:paraId="23845EB6">
      <w:pPr>
        <w:keepNext w:val="0"/>
        <w:keepLines w:val="0"/>
        <w:pageBreakBefore w:val="0"/>
        <w:widowControl w:val="0"/>
        <w:kinsoku/>
        <w:wordWrap w:val="0"/>
        <w:overflowPunct/>
        <w:topLinePunct/>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（1）《中华人民共和国环境保护法》（自 2015 年 1 月 1 日起施行）； </w:t>
      </w:r>
    </w:p>
    <w:p w14:paraId="07DA444A">
      <w:pPr>
        <w:keepNext w:val="0"/>
        <w:keepLines w:val="0"/>
        <w:pageBreakBefore w:val="0"/>
        <w:widowControl w:val="0"/>
        <w:kinsoku/>
        <w:wordWrap w:val="0"/>
        <w:overflowPunct/>
        <w:topLinePunct/>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w:t>
      </w:r>
      <w:r>
        <w:rPr>
          <w:rFonts w:hint="eastAsia" w:ascii="仿宋" w:hAnsi="仿宋" w:eastAsia="仿宋" w:cs="仿宋"/>
          <w:color w:val="auto"/>
          <w:kern w:val="0"/>
          <w:sz w:val="28"/>
          <w:szCs w:val="28"/>
          <w:lang w:val="en-US" w:eastAsia="zh-CN"/>
        </w:rPr>
        <w:t>《中华人民共和国突发事件</w:t>
      </w:r>
      <w:r>
        <w:rPr>
          <w:rFonts w:hint="default" w:ascii="Times New Roman" w:hAnsi="Times New Roman" w:eastAsia="仿宋" w:cs="Times New Roman"/>
          <w:color w:val="auto"/>
          <w:kern w:val="0"/>
          <w:sz w:val="28"/>
          <w:szCs w:val="28"/>
          <w:lang w:val="en-US" w:eastAsia="zh-CN"/>
        </w:rPr>
        <w:t>应对法》（2024年6月28日修订，2024年11月1日起施行）</w:t>
      </w:r>
      <w:r>
        <w:rPr>
          <w:rFonts w:hint="default" w:ascii="Times New Roman" w:hAnsi="Times New Roman" w:eastAsia="仿宋" w:cs="Times New Roman"/>
          <w:sz w:val="28"/>
          <w:szCs w:val="28"/>
        </w:rPr>
        <w:t xml:space="preserve">； </w:t>
      </w:r>
    </w:p>
    <w:p w14:paraId="244C35AD">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（3）《中华人民共和国水污染防治法》，2017年6月27日修订通过，自2018年1月1日起施行；</w:t>
      </w:r>
    </w:p>
    <w:p w14:paraId="026DD30E">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w:t>
      </w:r>
      <w:r>
        <w:rPr>
          <w:rFonts w:hint="default"/>
          <w:lang w:val="en-US" w:eastAsia="zh-CN"/>
        </w:rPr>
        <w:t>《中华人民共和国固体废物污染环境防治法》，2020年4月29日修订，2020年9月1日施行；</w:t>
      </w:r>
    </w:p>
    <w:p w14:paraId="1BB1381B">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w:t>
      </w:r>
      <w:r>
        <w:rPr>
          <w:rFonts w:hint="default"/>
          <w:lang w:val="en-US" w:eastAsia="zh-CN"/>
        </w:rPr>
        <w:t>《中华人民共和国安全生产法》，2021年7月16日修订，2021年9月1日施行；</w:t>
      </w:r>
    </w:p>
    <w:p w14:paraId="39D32D40">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rPr>
        <w:t xml:space="preserve">）《中华人民共和国消防法》（2021 年 4 月 29 日第十三届全国人民代表大会常务委员会第二十八次会议通过修正）； </w:t>
      </w:r>
    </w:p>
    <w:p w14:paraId="34B4729F">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7</w:t>
      </w:r>
      <w:r>
        <w:rPr>
          <w:rFonts w:hint="default" w:ascii="Times New Roman" w:hAnsi="Times New Roman" w:eastAsia="仿宋" w:cs="Times New Roman"/>
          <w:sz w:val="28"/>
          <w:szCs w:val="28"/>
        </w:rPr>
        <w:t>）《突发事件应急预案管理办法》国办发〔2024〕5号；</w:t>
      </w:r>
    </w:p>
    <w:p w14:paraId="653E4B64">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8</w:t>
      </w:r>
      <w:r>
        <w:rPr>
          <w:rFonts w:hint="default" w:ascii="Times New Roman" w:hAnsi="Times New Roman" w:eastAsia="仿宋" w:cs="Times New Roman"/>
          <w:sz w:val="28"/>
          <w:szCs w:val="28"/>
        </w:rPr>
        <w:t>）《突发环境事件信息报告办法》（环境保护部令第17号，自2011年5月1日起施行）；</w:t>
      </w:r>
    </w:p>
    <w:p w14:paraId="47DA131D">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9</w:t>
      </w:r>
      <w:r>
        <w:rPr>
          <w:rFonts w:hint="default" w:ascii="Times New Roman" w:hAnsi="Times New Roman" w:eastAsia="仿宋" w:cs="Times New Roman"/>
          <w:sz w:val="28"/>
          <w:szCs w:val="28"/>
          <w:lang w:val="en-US" w:eastAsia="zh-CN"/>
        </w:rPr>
        <w:t>）《突发环境事件调查处理办法》（环境保护部令第32号，自2015年3月1日起施行）；</w:t>
      </w:r>
    </w:p>
    <w:p w14:paraId="4D48A687">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w:t>
      </w:r>
      <w:r>
        <w:rPr>
          <w:rFonts w:hint="eastAsia" w:ascii="Times New Roman" w:hAnsi="Times New Roman" w:eastAsia="仿宋" w:cs="Times New Roman"/>
          <w:sz w:val="28"/>
          <w:szCs w:val="28"/>
          <w:lang w:val="en-US" w:eastAsia="zh-CN"/>
        </w:rPr>
        <w:t>0</w:t>
      </w:r>
      <w:r>
        <w:rPr>
          <w:rFonts w:hint="default" w:ascii="Times New Roman" w:hAnsi="Times New Roman" w:eastAsia="仿宋" w:cs="Times New Roman"/>
          <w:sz w:val="28"/>
          <w:szCs w:val="28"/>
          <w:lang w:val="en-US" w:eastAsia="zh-CN"/>
        </w:rPr>
        <w:t>）《突发环境事件应急管理办法》（环境保护部令第34号，自2015年6月5日起施行）；</w:t>
      </w:r>
    </w:p>
    <w:p w14:paraId="365AC017">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11</w:t>
      </w:r>
      <w:r>
        <w:rPr>
          <w:rFonts w:hint="default" w:ascii="Times New Roman" w:hAnsi="Times New Roman" w:eastAsia="仿宋" w:cs="Times New Roman"/>
          <w:sz w:val="28"/>
          <w:szCs w:val="28"/>
          <w:lang w:val="en-US" w:eastAsia="zh-CN"/>
        </w:rPr>
        <w:t>）《危险化学品重大危险源监督管理暂行规定》（根据2015年5月27日国家安全监管总局令第79号修正，自2015年7月1日起施行）；</w:t>
      </w:r>
    </w:p>
    <w:p w14:paraId="6FCF015E">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w:t>
      </w:r>
      <w:r>
        <w:rPr>
          <w:rFonts w:hint="eastAsia"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lang w:val="en-US" w:eastAsia="zh-CN"/>
        </w:rPr>
        <w:t>）《城市供水水质管理规定》（建设部令第156号，自2007年5月1日起施行）；</w:t>
      </w:r>
    </w:p>
    <w:p w14:paraId="6FF9979D">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w:t>
      </w: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val="en-US" w:eastAsia="zh-CN"/>
        </w:rPr>
        <w:t>）《生活饮用水卫生监督管理办法》（住房城乡建设部、国家卫生计生委令第31号，自2016年6月1日起施行）；</w:t>
      </w:r>
    </w:p>
    <w:p w14:paraId="60AA3131">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w:t>
      </w:r>
      <w:r>
        <w:rPr>
          <w:rFonts w:hint="eastAsia"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lang w:val="en-US" w:eastAsia="zh-CN"/>
        </w:rPr>
        <w:t>）《山西省水污染防治条例》（自2019年10月1日起施行）</w:t>
      </w:r>
      <w:r>
        <w:rPr>
          <w:rFonts w:hint="eastAsia" w:cs="Times New Roman"/>
          <w:sz w:val="28"/>
          <w:szCs w:val="28"/>
          <w:lang w:val="en-US" w:eastAsia="zh-CN"/>
        </w:rPr>
        <w:t>；</w:t>
      </w:r>
    </w:p>
    <w:p w14:paraId="72785205">
      <w:pPr>
        <w:keepNext w:val="0"/>
        <w:keepLines w:val="0"/>
        <w:pageBreakBefore w:val="0"/>
        <w:widowControl w:val="0"/>
        <w:numPr>
          <w:ilvl w:val="0"/>
          <w:numId w:val="0"/>
        </w:numPr>
        <w:kinsoku/>
        <w:wordWrap w:val="0"/>
        <w:overflowPunct/>
        <w:topLinePunct/>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15</w:t>
      </w: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zh-CN" w:eastAsia="zh-CN"/>
        </w:rPr>
        <w:t>《山西省突发事件应急预案管理办法》（</w:t>
      </w:r>
      <w:r>
        <w:rPr>
          <w:rFonts w:hint="default" w:ascii="Times New Roman" w:hAnsi="Times New Roman" w:eastAsia="仿宋" w:cs="Times New Roman"/>
          <w:sz w:val="28"/>
          <w:szCs w:val="28"/>
          <w:lang w:val="zh-CN" w:eastAsia="zh-CN"/>
        </w:rPr>
        <w:t>晋政办发〔</w:t>
      </w:r>
      <w:r>
        <w:rPr>
          <w:rFonts w:hint="eastAsia" w:ascii="Times New Roman" w:hAnsi="Times New Roman" w:eastAsia="仿宋" w:cs="Times New Roman"/>
          <w:sz w:val="28"/>
          <w:szCs w:val="28"/>
          <w:lang w:val="en-US" w:eastAsia="zh-CN"/>
        </w:rPr>
        <w:t>2024</w:t>
      </w:r>
      <w:r>
        <w:rPr>
          <w:rFonts w:hint="default" w:ascii="Times New Roman" w:hAnsi="Times New Roman" w:eastAsia="仿宋" w:cs="Times New Roman"/>
          <w:sz w:val="28"/>
          <w:szCs w:val="28"/>
          <w:lang w:val="zh-CN" w:eastAsia="zh-CN"/>
        </w:rPr>
        <w:t>〕</w:t>
      </w:r>
      <w:r>
        <w:rPr>
          <w:rFonts w:hint="eastAsia" w:ascii="Times New Roman" w:hAnsi="Times New Roman" w:eastAsia="仿宋" w:cs="Times New Roman"/>
          <w:sz w:val="28"/>
          <w:szCs w:val="28"/>
          <w:lang w:val="en-US" w:eastAsia="zh-CN"/>
        </w:rPr>
        <w:t>32</w:t>
      </w:r>
      <w:r>
        <w:rPr>
          <w:rFonts w:hint="default" w:ascii="Times New Roman" w:hAnsi="Times New Roman" w:eastAsia="仿宋" w:cs="Times New Roman"/>
          <w:sz w:val="28"/>
          <w:szCs w:val="28"/>
          <w:lang w:val="zh-CN" w:eastAsia="zh-CN"/>
        </w:rPr>
        <w:t>号</w:t>
      </w:r>
      <w:r>
        <w:rPr>
          <w:rFonts w:hint="eastAsia" w:ascii="Times New Roman" w:hAnsi="Times New Roman" w:eastAsia="仿宋" w:cs="Times New Roman"/>
          <w:sz w:val="28"/>
          <w:szCs w:val="28"/>
          <w:lang w:val="zh-CN" w:eastAsia="zh-CN"/>
        </w:rPr>
        <w:t>）</w:t>
      </w:r>
      <w:r>
        <w:rPr>
          <w:rFonts w:hint="eastAsia" w:cs="Times New Roman"/>
          <w:sz w:val="28"/>
          <w:szCs w:val="28"/>
          <w:lang w:val="zh-CN" w:eastAsia="zh-CN"/>
        </w:rPr>
        <w:t>。</w:t>
      </w:r>
    </w:p>
    <w:p w14:paraId="7A2A3270">
      <w:pPr>
        <w:pStyle w:val="4"/>
        <w:keepNext/>
        <w:keepLines/>
        <w:pageBreakBefore w:val="0"/>
        <w:widowControl/>
        <w:kinsoku/>
        <w:wordWrap/>
        <w:overflowPunct/>
        <w:topLinePunct w:val="0"/>
        <w:autoSpaceDE/>
        <w:autoSpaceDN/>
        <w:bidi w:val="0"/>
        <w:adjustRightInd w:val="0"/>
        <w:snapToGrid w:val="0"/>
        <w:textAlignment w:val="auto"/>
        <w:rPr>
          <w:rFonts w:hint="default"/>
          <w:lang w:val="en-US" w:eastAsia="zh-CN"/>
        </w:rPr>
      </w:pPr>
      <w:bookmarkStart w:id="11" w:name="_Toc19259"/>
      <w:r>
        <w:rPr>
          <w:rFonts w:hint="default"/>
          <w:lang w:val="en-US" w:eastAsia="zh-CN"/>
        </w:rPr>
        <w:t>1.2.2相关标准规范和文件</w:t>
      </w:r>
      <w:bookmarkEnd w:id="11"/>
    </w:p>
    <w:p w14:paraId="647852AE">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（1）《国家突发环境事件应急预案》（国办函〔2014〕119号）；</w:t>
      </w:r>
    </w:p>
    <w:p w14:paraId="68B7DD77">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（2）《国家突发事件总体应急预案》（20</w:t>
      </w:r>
      <w:r>
        <w:rPr>
          <w:rFonts w:hint="eastAsia" w:ascii="Times New Roman" w:hAnsi="Times New Roman" w:eastAsia="仿宋" w:cs="Times New Roman"/>
          <w:sz w:val="28"/>
          <w:szCs w:val="28"/>
          <w:lang w:val="en-US" w:eastAsia="zh-CN"/>
        </w:rPr>
        <w:t>25</w:t>
      </w:r>
      <w:r>
        <w:rPr>
          <w:rFonts w:hint="default" w:ascii="Times New Roman" w:hAnsi="Times New Roman" w:eastAsia="仿宋" w:cs="Times New Roman"/>
          <w:sz w:val="28"/>
          <w:szCs w:val="28"/>
        </w:rPr>
        <w:t>年</w:t>
      </w:r>
      <w:r>
        <w:rPr>
          <w:rFonts w:hint="eastAsia"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月</w:t>
      </w:r>
      <w:r>
        <w:rPr>
          <w:rFonts w:hint="eastAsia" w:ascii="Times New Roman" w:hAnsi="Times New Roman" w:eastAsia="仿宋" w:cs="Times New Roman"/>
          <w:sz w:val="28"/>
          <w:szCs w:val="28"/>
          <w:lang w:val="en-US" w:eastAsia="zh-CN"/>
        </w:rPr>
        <w:t>25</w:t>
      </w:r>
      <w:r>
        <w:rPr>
          <w:rFonts w:hint="default" w:ascii="Times New Roman" w:hAnsi="Times New Roman" w:eastAsia="仿宋" w:cs="Times New Roman"/>
          <w:sz w:val="28"/>
          <w:szCs w:val="28"/>
        </w:rPr>
        <w:t>日发布并实施）；</w:t>
      </w:r>
    </w:p>
    <w:p w14:paraId="21A0093D">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w:t>
      </w:r>
      <w:r>
        <w:rPr>
          <w:rFonts w:hint="eastAsia" w:cs="Times New Roman"/>
          <w:sz w:val="28"/>
          <w:szCs w:val="28"/>
          <w:lang w:val="en-US" w:eastAsia="zh-CN"/>
        </w:rPr>
        <w:t>3</w:t>
      </w:r>
      <w:r>
        <w:rPr>
          <w:rFonts w:hint="default" w:ascii="Times New Roman" w:hAnsi="Times New Roman" w:eastAsia="仿宋" w:cs="Times New Roman"/>
          <w:sz w:val="28"/>
          <w:szCs w:val="28"/>
        </w:rPr>
        <w:t>）《突发环境事件应急监测技术规范》（HJ589-20</w:t>
      </w:r>
      <w:r>
        <w:rPr>
          <w:rFonts w:hint="eastAsia" w:ascii="Times New Roman" w:hAnsi="Times New Roman" w:eastAsia="仿宋" w:cs="Times New Roman"/>
          <w:sz w:val="28"/>
          <w:szCs w:val="28"/>
          <w:lang w:val="en-US" w:eastAsia="zh-CN"/>
        </w:rPr>
        <w:t>21</w:t>
      </w:r>
      <w:r>
        <w:rPr>
          <w:rFonts w:hint="default" w:ascii="Times New Roman" w:hAnsi="Times New Roman" w:eastAsia="仿宋" w:cs="Times New Roman"/>
          <w:sz w:val="28"/>
          <w:szCs w:val="28"/>
        </w:rPr>
        <w:t>）；</w:t>
      </w:r>
    </w:p>
    <w:p w14:paraId="302987ED">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w:t>
      </w:r>
      <w:r>
        <w:rPr>
          <w:rFonts w:hint="eastAsia" w:cs="Times New Roman"/>
          <w:sz w:val="28"/>
          <w:szCs w:val="28"/>
          <w:lang w:val="en-US" w:eastAsia="zh-CN"/>
        </w:rPr>
        <w:t>4</w:t>
      </w:r>
      <w:r>
        <w:rPr>
          <w:rFonts w:hint="default" w:ascii="Times New Roman" w:hAnsi="Times New Roman" w:eastAsia="仿宋" w:cs="Times New Roman"/>
          <w:sz w:val="28"/>
          <w:szCs w:val="28"/>
        </w:rPr>
        <w:t>）《集中式饮用水水源地环境保护规范化建设技术要求》(HJ773-2015)；</w:t>
      </w:r>
    </w:p>
    <w:p w14:paraId="23554EFB">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highlight w:val="yellow"/>
          <w:lang w:eastAsia="zh-CN"/>
        </w:rPr>
      </w:pPr>
      <w:r>
        <w:rPr>
          <w:rFonts w:hint="default" w:ascii="Times New Roman" w:hAnsi="Times New Roman" w:eastAsia="仿宋" w:cs="Times New Roman"/>
          <w:sz w:val="28"/>
          <w:szCs w:val="28"/>
        </w:rPr>
        <w:t>（</w:t>
      </w:r>
      <w:r>
        <w:rPr>
          <w:rFonts w:hint="eastAsia" w:cs="Times New Roman"/>
          <w:sz w:val="28"/>
          <w:szCs w:val="28"/>
          <w:lang w:val="en-US" w:eastAsia="zh-CN"/>
        </w:rPr>
        <w:t>5</w:t>
      </w:r>
      <w:r>
        <w:rPr>
          <w:rFonts w:hint="default" w:ascii="Times New Roman" w:hAnsi="Times New Roman" w:eastAsia="仿宋" w:cs="Times New Roman"/>
          <w:sz w:val="28"/>
          <w:szCs w:val="28"/>
        </w:rPr>
        <w:t>）《集中式饮用水水源地环境保护状况评估技术规范》（HJ774-2015）；</w:t>
      </w:r>
    </w:p>
    <w:p w14:paraId="680078E9">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eastAsia" w:cs="Times New Roman"/>
          <w:sz w:val="28"/>
          <w:szCs w:val="28"/>
          <w:lang w:val="en-US" w:eastAsia="zh-CN"/>
        </w:rPr>
        <w:t>6</w:t>
      </w:r>
      <w:r>
        <w:rPr>
          <w:rFonts w:hint="default" w:ascii="Times New Roman" w:hAnsi="Times New Roman" w:eastAsia="仿宋" w:cs="Times New Roman"/>
          <w:sz w:val="28"/>
          <w:szCs w:val="28"/>
        </w:rPr>
        <w:t>）《行政区域突发环境事件风险评估推荐方法》（环办应急〔2018〕9号）；</w:t>
      </w:r>
    </w:p>
    <w:p w14:paraId="3EC9443C">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eastAsia" w:cs="Times New Roman"/>
          <w:sz w:val="28"/>
          <w:szCs w:val="28"/>
          <w:lang w:val="en-US" w:eastAsia="zh-CN"/>
        </w:rPr>
        <w:t>7</w:t>
      </w:r>
      <w:r>
        <w:rPr>
          <w:rFonts w:hint="default" w:ascii="Times New Roman" w:hAnsi="Times New Roman" w:eastAsia="仿宋" w:cs="Times New Roman"/>
          <w:sz w:val="28"/>
          <w:szCs w:val="28"/>
        </w:rPr>
        <w:t>）《饮用水水源保护区标志技术要求》（HJ/T433-2008）；</w:t>
      </w:r>
    </w:p>
    <w:p w14:paraId="647AA46C">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w:t>
      </w:r>
      <w:r>
        <w:rPr>
          <w:rFonts w:hint="eastAsia" w:cs="Times New Roman"/>
          <w:sz w:val="28"/>
          <w:szCs w:val="28"/>
          <w:lang w:val="en-US" w:eastAsia="zh-CN"/>
        </w:rPr>
        <w:t>8</w:t>
      </w:r>
      <w:r>
        <w:rPr>
          <w:rFonts w:hint="default" w:ascii="Times New Roman" w:hAnsi="Times New Roman" w:eastAsia="仿宋" w:cs="Times New Roman"/>
          <w:sz w:val="28"/>
          <w:szCs w:val="28"/>
        </w:rPr>
        <w:t>）《集中式地表水饮用水水源地突发环境事件应急预案编制指南（试行）》（公告2018年第1号）；</w:t>
      </w:r>
    </w:p>
    <w:p w14:paraId="2E2FAF2A">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w:t>
      </w:r>
      <w:r>
        <w:rPr>
          <w:rFonts w:hint="eastAsia" w:cs="Times New Roman"/>
          <w:sz w:val="28"/>
          <w:szCs w:val="28"/>
          <w:lang w:val="en-US" w:eastAsia="zh-CN"/>
        </w:rPr>
        <w:t>9</w:t>
      </w:r>
      <w:r>
        <w:rPr>
          <w:rFonts w:hint="default" w:ascii="Times New Roman" w:hAnsi="Times New Roman" w:eastAsia="仿宋" w:cs="Times New Roman"/>
          <w:sz w:val="28"/>
          <w:szCs w:val="28"/>
        </w:rPr>
        <w:t>）《危险化学品重大危险源辨识》（GB18218-2018）；</w:t>
      </w:r>
    </w:p>
    <w:p w14:paraId="1A28A4B4">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1</w:t>
      </w:r>
      <w:r>
        <w:rPr>
          <w:rFonts w:hint="eastAsia" w:cs="Times New Roman"/>
          <w:sz w:val="28"/>
          <w:szCs w:val="28"/>
          <w:lang w:val="en-US" w:eastAsia="zh-CN"/>
        </w:rPr>
        <w:t>0</w:t>
      </w: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《危险化学品安全管理条例》，201</w:t>
      </w: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val="en-US" w:eastAsia="zh-CN"/>
        </w:rPr>
        <w:t>年12月</w:t>
      </w:r>
      <w:r>
        <w:rPr>
          <w:rFonts w:hint="eastAsia" w:ascii="Times New Roman" w:hAnsi="Times New Roman" w:eastAsia="仿宋" w:cs="Times New Roman"/>
          <w:sz w:val="28"/>
          <w:szCs w:val="28"/>
          <w:lang w:val="en-US" w:eastAsia="zh-CN"/>
        </w:rPr>
        <w:t>7</w:t>
      </w:r>
      <w:r>
        <w:rPr>
          <w:rFonts w:hint="default" w:ascii="Times New Roman" w:hAnsi="Times New Roman" w:eastAsia="仿宋" w:cs="Times New Roman"/>
          <w:sz w:val="28"/>
          <w:szCs w:val="28"/>
          <w:lang w:val="en-US" w:eastAsia="zh-CN"/>
        </w:rPr>
        <w:t>日施行</w:t>
      </w:r>
      <w:r>
        <w:rPr>
          <w:rFonts w:hint="default" w:ascii="Times New Roman" w:hAnsi="Times New Roman" w:eastAsia="仿宋" w:cs="Times New Roman"/>
          <w:sz w:val="28"/>
          <w:szCs w:val="28"/>
        </w:rPr>
        <w:t>；</w:t>
      </w:r>
    </w:p>
    <w:p w14:paraId="4DE71043">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textAlignment w:val="auto"/>
        <w:rPr>
          <w:rFonts w:hint="eastAsia" w:ascii="Times New Roman" w:hAnsi="Times New Roman" w:eastAsia="仿宋" w:cs="Times New Roman"/>
          <w:sz w:val="28"/>
          <w:szCs w:val="28"/>
          <w:highlight w:val="none"/>
          <w:lang w:eastAsia="zh-CN"/>
        </w:rPr>
      </w:pPr>
      <w:r>
        <w:rPr>
          <w:rFonts w:hint="default"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1</w:t>
      </w:r>
      <w:r>
        <w:rPr>
          <w:rFonts w:hint="eastAsia" w:cs="Times New Roman"/>
          <w:sz w:val="28"/>
          <w:szCs w:val="28"/>
          <w:lang w:val="en-US" w:eastAsia="zh-CN"/>
        </w:rPr>
        <w:t>1</w:t>
      </w:r>
      <w:r>
        <w:rPr>
          <w:rFonts w:hint="default" w:ascii="Times New Roman" w:hAnsi="Times New Roman" w:eastAsia="仿宋" w:cs="Times New Roman"/>
          <w:sz w:val="28"/>
          <w:szCs w:val="28"/>
        </w:rPr>
        <w:t>）《饮用水水源保护区污染防治管理规定》（2010年</w:t>
      </w:r>
      <w:r>
        <w:rPr>
          <w:rFonts w:hint="default" w:ascii="Times New Roman" w:hAnsi="Times New Roman" w:eastAsia="仿宋" w:cs="Times New Roman"/>
          <w:sz w:val="28"/>
          <w:szCs w:val="28"/>
          <w:lang w:val="en-US" w:eastAsia="zh-CN"/>
        </w:rPr>
        <w:t>11</w:t>
      </w:r>
      <w:r>
        <w:rPr>
          <w:rFonts w:hint="default" w:ascii="Times New Roman" w:hAnsi="Times New Roman" w:eastAsia="仿宋" w:cs="Times New Roman"/>
          <w:sz w:val="28"/>
          <w:szCs w:val="28"/>
        </w:rPr>
        <w:t>月22日修正）；</w:t>
      </w:r>
    </w:p>
    <w:p w14:paraId="4D5BEA61">
      <w:pPr>
        <w:pStyle w:val="4"/>
        <w:bidi w:val="0"/>
        <w:rPr>
          <w:rFonts w:hint="default"/>
          <w:lang w:val="en-US" w:eastAsia="zh-CN"/>
        </w:rPr>
      </w:pPr>
      <w:bookmarkStart w:id="12" w:name="_Toc1983"/>
      <w:r>
        <w:rPr>
          <w:rFonts w:hint="default"/>
          <w:lang w:val="en-US" w:eastAsia="zh-CN"/>
        </w:rPr>
        <w:t>1.2.3 其他技术资料</w:t>
      </w:r>
      <w:bookmarkEnd w:id="12"/>
      <w:r>
        <w:rPr>
          <w:rFonts w:hint="default"/>
          <w:lang w:val="en-US" w:eastAsia="zh-CN"/>
        </w:rPr>
        <w:t xml:space="preserve"> </w:t>
      </w:r>
    </w:p>
    <w:p w14:paraId="650014DF">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）《山西省突发环境事件应急预案》；</w:t>
      </w:r>
    </w:p>
    <w:p w14:paraId="0A14852A">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textAlignment w:val="auto"/>
        <w:rPr>
          <w:rFonts w:hint="default" w:ascii="Times New Roman" w:hAnsi="Times New Roman" w:eastAsia="仿宋" w:cs="Times New Roman"/>
          <w:sz w:val="28"/>
          <w:szCs w:val="28"/>
          <w:highlight w:val="none"/>
        </w:rPr>
      </w:pPr>
      <w:r>
        <w:rPr>
          <w:rFonts w:hint="default" w:ascii="Times New Roman" w:hAnsi="Times New Roman" w:eastAsia="仿宋" w:cs="Times New Roman"/>
          <w:sz w:val="28"/>
          <w:szCs w:val="28"/>
          <w:highlight w:val="none"/>
        </w:rPr>
        <w:t>（</w:t>
      </w:r>
      <w:r>
        <w:rPr>
          <w:rFonts w:hint="default" w:ascii="Times New Roman" w:hAnsi="Times New Roman" w:eastAsia="仿宋" w:cs="Times New Roman"/>
          <w:sz w:val="28"/>
          <w:szCs w:val="28"/>
          <w:highlight w:val="none"/>
          <w:lang w:val="en-US" w:eastAsia="zh-CN"/>
        </w:rPr>
        <w:t>2</w:t>
      </w:r>
      <w:r>
        <w:rPr>
          <w:rFonts w:hint="default" w:ascii="Times New Roman" w:hAnsi="Times New Roman" w:eastAsia="仿宋" w:cs="Times New Roman"/>
          <w:sz w:val="28"/>
          <w:szCs w:val="28"/>
          <w:highlight w:val="none"/>
        </w:rPr>
        <w:t>）《</w:t>
      </w:r>
      <w:r>
        <w:rPr>
          <w:rFonts w:hint="eastAsia" w:ascii="Times New Roman" w:hAnsi="Times New Roman" w:eastAsia="仿宋" w:cs="Times New Roman"/>
          <w:sz w:val="28"/>
          <w:szCs w:val="28"/>
          <w:highlight w:val="none"/>
          <w:lang w:eastAsia="zh-CN"/>
        </w:rPr>
        <w:t>吕梁市</w:t>
      </w:r>
      <w:r>
        <w:rPr>
          <w:rFonts w:hint="default" w:ascii="Times New Roman" w:hAnsi="Times New Roman" w:eastAsia="仿宋" w:cs="Times New Roman"/>
          <w:sz w:val="28"/>
          <w:szCs w:val="28"/>
          <w:highlight w:val="none"/>
        </w:rPr>
        <w:t>突发环境事件应急预案》；</w:t>
      </w:r>
    </w:p>
    <w:p w14:paraId="39C25E4D">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textAlignment w:val="auto"/>
        <w:rPr>
          <w:rFonts w:hint="eastAsia" w:ascii="Times New Roman" w:hAnsi="Times New Roman" w:eastAsia="仿宋" w:cs="Times New Roman"/>
          <w:sz w:val="28"/>
          <w:szCs w:val="28"/>
          <w:highlight w:val="yellow"/>
          <w:lang w:val="en-US" w:eastAsia="zh-CN"/>
        </w:rPr>
      </w:pPr>
      <w:r>
        <w:rPr>
          <w:rFonts w:hint="default" w:ascii="Times New Roman" w:hAnsi="Times New Roman" w:eastAsia="仿宋" w:cs="Times New Roman"/>
          <w:sz w:val="28"/>
          <w:szCs w:val="28"/>
          <w:highlight w:val="none"/>
        </w:rPr>
        <w:t>（3）《</w:t>
      </w:r>
      <w:r>
        <w:rPr>
          <w:rFonts w:hint="eastAsia" w:ascii="Times New Roman" w:hAnsi="Times New Roman" w:eastAsia="仿宋" w:cs="Times New Roman"/>
          <w:sz w:val="28"/>
          <w:szCs w:val="28"/>
          <w:highlight w:val="none"/>
          <w:lang w:eastAsia="zh-CN"/>
        </w:rPr>
        <w:t>汾阳市</w:t>
      </w:r>
      <w:r>
        <w:rPr>
          <w:rFonts w:hint="default" w:ascii="Times New Roman" w:hAnsi="Times New Roman" w:eastAsia="仿宋" w:cs="Times New Roman"/>
          <w:sz w:val="28"/>
          <w:szCs w:val="28"/>
          <w:highlight w:val="none"/>
        </w:rPr>
        <w:t>突发环境事件应急预案》</w:t>
      </w:r>
      <w:r>
        <w:rPr>
          <w:rFonts w:hint="eastAsia" w:ascii="Times New Roman" w:hAnsi="Times New Roman" w:eastAsia="仿宋" w:cs="Times New Roman"/>
          <w:sz w:val="28"/>
          <w:szCs w:val="28"/>
          <w:highlight w:val="none"/>
          <w:lang w:eastAsia="zh-CN"/>
        </w:rPr>
        <w:t>。</w:t>
      </w:r>
    </w:p>
    <w:p w14:paraId="4A9F8AC4">
      <w:pPr>
        <w:pStyle w:val="3"/>
        <w:bidi w:val="0"/>
        <w:rPr>
          <w:rFonts w:hint="default"/>
          <w:lang w:val="en-US" w:eastAsia="zh-CN"/>
        </w:rPr>
      </w:pPr>
      <w:bookmarkStart w:id="13" w:name="_Toc28908"/>
      <w:bookmarkStart w:id="14" w:name="_Toc13585"/>
      <w:r>
        <w:rPr>
          <w:rFonts w:hint="default"/>
          <w:lang w:val="en-US" w:eastAsia="zh-CN"/>
        </w:rPr>
        <w:t>1.3 预案衔接</w:t>
      </w:r>
      <w:bookmarkEnd w:id="13"/>
      <w:bookmarkEnd w:id="14"/>
      <w:r>
        <w:rPr>
          <w:rFonts w:hint="default"/>
          <w:lang w:val="en-US" w:eastAsia="zh-CN"/>
        </w:rPr>
        <w:t xml:space="preserve"> </w:t>
      </w:r>
    </w:p>
    <w:p w14:paraId="4185DA34">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本预案为《</w:t>
      </w:r>
      <w:r>
        <w:rPr>
          <w:rFonts w:hint="eastAsia" w:ascii="Times New Roman" w:hAnsi="Times New Roman" w:eastAsia="仿宋" w:cs="Times New Roman"/>
          <w:sz w:val="28"/>
          <w:szCs w:val="28"/>
          <w:lang w:eastAsia="zh-CN"/>
        </w:rPr>
        <w:t>汾阳市</w:t>
      </w:r>
      <w:r>
        <w:rPr>
          <w:rFonts w:hint="default" w:ascii="Times New Roman" w:hAnsi="Times New Roman" w:eastAsia="仿宋" w:cs="Times New Roman"/>
          <w:sz w:val="28"/>
          <w:szCs w:val="28"/>
        </w:rPr>
        <w:t>突发环境事件应急预案》的子预案，是集中式饮用水水源地突发环境事件专项应急预案。</w:t>
      </w:r>
    </w:p>
    <w:p w14:paraId="17A8C631">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本预案与《</w:t>
      </w:r>
      <w:r>
        <w:rPr>
          <w:rFonts w:hint="eastAsia" w:ascii="Times New Roman" w:hAnsi="Times New Roman" w:eastAsia="仿宋" w:cs="Times New Roman"/>
          <w:sz w:val="28"/>
          <w:szCs w:val="28"/>
          <w:lang w:eastAsia="zh-CN"/>
        </w:rPr>
        <w:t>吕梁市</w:t>
      </w:r>
      <w:r>
        <w:rPr>
          <w:rFonts w:hint="default" w:ascii="Times New Roman" w:hAnsi="Times New Roman" w:eastAsia="仿宋" w:cs="Times New Roman"/>
          <w:sz w:val="28"/>
          <w:szCs w:val="28"/>
        </w:rPr>
        <w:t>突发环境事件应急预案》、《</w:t>
      </w:r>
      <w:r>
        <w:rPr>
          <w:rFonts w:hint="eastAsia" w:ascii="Times New Roman" w:hAnsi="Times New Roman" w:eastAsia="仿宋" w:cs="Times New Roman"/>
          <w:sz w:val="28"/>
          <w:szCs w:val="28"/>
          <w:lang w:eastAsia="zh-CN"/>
        </w:rPr>
        <w:t>汾阳市</w:t>
      </w:r>
      <w:r>
        <w:rPr>
          <w:rFonts w:hint="default" w:ascii="Times New Roman" w:hAnsi="Times New Roman" w:eastAsia="仿宋" w:cs="Times New Roman"/>
          <w:sz w:val="28"/>
          <w:szCs w:val="28"/>
        </w:rPr>
        <w:t>突发环境事件应急预案》及</w:t>
      </w:r>
      <w:r>
        <w:rPr>
          <w:rFonts w:hint="eastAsia" w:cs="Times New Roman"/>
          <w:sz w:val="28"/>
          <w:szCs w:val="28"/>
          <w:lang w:eastAsia="zh-CN"/>
        </w:rPr>
        <w:t>相关部门</w:t>
      </w:r>
      <w:r>
        <w:rPr>
          <w:rFonts w:hint="default" w:ascii="Times New Roman" w:hAnsi="Times New Roman" w:eastAsia="仿宋" w:cs="Times New Roman"/>
          <w:sz w:val="28"/>
          <w:szCs w:val="28"/>
        </w:rPr>
        <w:t>其他相关预案在组织指挥体系、适用的地域范围、预警分级、信息报告、应急保障等方面进行衔接，确保突发环境事件的应急组织指挥方式协调一致。启动本水源地应急预案后，由应急指挥部统一指挥，各成员单位相互协调，保持联动，并确保联动的及时性、迅速性、可行性、有效性。</w:t>
      </w:r>
    </w:p>
    <w:p w14:paraId="4708D1B1">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textAlignment w:val="auto"/>
        <w:rPr>
          <w:rFonts w:hint="default"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本预案所涉及水源地位于磁窑河，汾河水系，当磁窑河（汾阳段）突发水污染事件环境应急响应方案或“一河一策一图”环境应急响应方案启动时，需关注事故地点是否涉及潜水型水源地水源补给区，若涉及则启动本水源地应急预案，由应急指挥部统一指挥。</w:t>
      </w:r>
    </w:p>
    <w:p w14:paraId="7DB195E6">
      <w:pPr>
        <w:pStyle w:val="3"/>
        <w:bidi w:val="0"/>
        <w:rPr>
          <w:rFonts w:hint="default"/>
          <w:lang w:val="en-US" w:eastAsia="zh-CN"/>
        </w:rPr>
      </w:pPr>
      <w:bookmarkStart w:id="15" w:name="_Toc28069"/>
      <w:bookmarkStart w:id="16" w:name="_Toc28113"/>
      <w:r>
        <w:rPr>
          <w:rFonts w:hint="default"/>
          <w:lang w:val="en-US" w:eastAsia="zh-CN"/>
        </w:rPr>
        <w:t>1.4适用范围</w:t>
      </w:r>
      <w:bookmarkEnd w:id="15"/>
      <w:bookmarkEnd w:id="16"/>
    </w:p>
    <w:p w14:paraId="59855A6D">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本预案适用于</w:t>
      </w:r>
      <w:r>
        <w:rPr>
          <w:rFonts w:hint="eastAsia" w:ascii="Times New Roman" w:hAnsi="Times New Roman" w:eastAsia="仿宋" w:cs="Times New Roman"/>
          <w:sz w:val="28"/>
          <w:szCs w:val="28"/>
          <w:lang w:val="en-US" w:eastAsia="zh-CN"/>
        </w:rPr>
        <w:t>汾阳市</w:t>
      </w:r>
      <w:r>
        <w:rPr>
          <w:rFonts w:hint="default" w:ascii="Times New Roman" w:hAnsi="Times New Roman" w:eastAsia="仿宋" w:cs="Times New Roman"/>
          <w:sz w:val="28"/>
          <w:szCs w:val="28"/>
          <w:lang w:val="en-US" w:eastAsia="zh-CN"/>
        </w:rPr>
        <w:t>内</w:t>
      </w:r>
      <w:r>
        <w:rPr>
          <w:rFonts w:hint="eastAsia" w:ascii="Times New Roman" w:hAnsi="Times New Roman" w:eastAsia="仿宋" w:cs="Times New Roman"/>
          <w:sz w:val="28"/>
          <w:szCs w:val="28"/>
          <w:lang w:val="en-US" w:eastAsia="zh-CN"/>
        </w:rPr>
        <w:t>1</w:t>
      </w:r>
      <w:r>
        <w:rPr>
          <w:rFonts w:hint="eastAsia" w:cs="Times New Roman"/>
          <w:sz w:val="28"/>
          <w:szCs w:val="28"/>
          <w:lang w:val="en-US" w:eastAsia="zh-CN"/>
        </w:rPr>
        <w:t>0</w:t>
      </w:r>
      <w:r>
        <w:rPr>
          <w:rFonts w:hint="default" w:ascii="Times New Roman" w:hAnsi="Times New Roman" w:eastAsia="仿宋" w:cs="Times New Roman"/>
          <w:sz w:val="28"/>
          <w:szCs w:val="28"/>
          <w:lang w:val="en-US" w:eastAsia="zh-CN"/>
        </w:rPr>
        <w:t>个乡镇</w:t>
      </w:r>
      <w:r>
        <w:rPr>
          <w:rFonts w:hint="eastAsia" w:cs="Times New Roman"/>
          <w:sz w:val="28"/>
          <w:szCs w:val="28"/>
          <w:lang w:val="en-US" w:eastAsia="zh-CN"/>
        </w:rPr>
        <w:t>集中式饮用</w:t>
      </w:r>
      <w:r>
        <w:rPr>
          <w:rFonts w:hint="default" w:ascii="Times New Roman" w:hAnsi="Times New Roman" w:eastAsia="仿宋" w:cs="Times New Roman"/>
          <w:sz w:val="28"/>
          <w:szCs w:val="28"/>
          <w:lang w:val="en-US" w:eastAsia="zh-CN"/>
        </w:rPr>
        <w:t>水源的突发环境事件的预警和应急处置等工作。超出应急预案应急范围时，则与</w:t>
      </w:r>
      <w:r>
        <w:rPr>
          <w:rFonts w:hint="eastAsia" w:cs="Times New Roman"/>
          <w:sz w:val="28"/>
          <w:szCs w:val="28"/>
          <w:lang w:val="en-US" w:eastAsia="zh-CN"/>
        </w:rPr>
        <w:t>汾阳市人民政府</w:t>
      </w:r>
      <w:r>
        <w:rPr>
          <w:rFonts w:hint="default" w:ascii="Times New Roman" w:hAnsi="Times New Roman" w:eastAsia="仿宋" w:cs="Times New Roman"/>
          <w:sz w:val="28"/>
          <w:szCs w:val="28"/>
          <w:lang w:val="en-US" w:eastAsia="zh-CN"/>
        </w:rPr>
        <w:t>发布的突发环境事件专项应急预案衔接。当突发环境事件应急预案启动后，本预案视情启动或辅助执行。</w:t>
      </w:r>
    </w:p>
    <w:p w14:paraId="719DBC8A">
      <w:pPr>
        <w:pStyle w:val="3"/>
        <w:keepNext/>
        <w:keepLines/>
        <w:pageBreakBefore w:val="0"/>
        <w:widowControl/>
        <w:kinsoku/>
        <w:wordWrap/>
        <w:overflowPunct/>
        <w:topLinePunct w:val="0"/>
        <w:autoSpaceDE/>
        <w:autoSpaceDN/>
        <w:bidi w:val="0"/>
        <w:adjustRightInd w:val="0"/>
        <w:snapToGrid w:val="0"/>
        <w:textAlignment w:val="auto"/>
        <w:rPr>
          <w:rFonts w:hint="default"/>
        </w:rPr>
      </w:pPr>
      <w:bookmarkStart w:id="17" w:name="_Toc20840"/>
      <w:bookmarkStart w:id="18" w:name="_Toc24574"/>
      <w:r>
        <w:rPr>
          <w:rFonts w:hint="default"/>
        </w:rPr>
        <w:t>1.</w:t>
      </w:r>
      <w:r>
        <w:rPr>
          <w:rFonts w:hint="default"/>
          <w:lang w:val="en-US" w:eastAsia="zh-CN"/>
        </w:rPr>
        <w:t>5</w:t>
      </w:r>
      <w:r>
        <w:rPr>
          <w:rFonts w:hint="default"/>
        </w:rPr>
        <w:t xml:space="preserve"> 工作原则</w:t>
      </w:r>
      <w:bookmarkEnd w:id="17"/>
      <w:bookmarkEnd w:id="18"/>
    </w:p>
    <w:p w14:paraId="264151C7">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在建立突发性环境事件应急系统及其响应程序时，应本着实事求是、切实可行的方针，贯彻如下原则：</w:t>
      </w:r>
    </w:p>
    <w:p w14:paraId="38226C30">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系统性原则。编制水源地应急预案，应全面掌握和分析行政区域内水源地的风险源信息、可能发生的突发环境事件情景和应急资源状况，逐一梳理明确各部门应对突发环境事件的工作职责、应急流程和任务分工，有效提升政府和</w:t>
      </w:r>
      <w:r>
        <w:rPr>
          <w:rFonts w:hint="eastAsia" w:cs="Times New Roman"/>
          <w:sz w:val="28"/>
          <w:szCs w:val="28"/>
          <w:lang w:eastAsia="zh-CN"/>
        </w:rPr>
        <w:t>相关部门</w:t>
      </w:r>
      <w:r>
        <w:rPr>
          <w:rFonts w:hint="default" w:ascii="Times New Roman" w:hAnsi="Times New Roman" w:eastAsia="仿宋" w:cs="Times New Roman"/>
          <w:sz w:val="28"/>
          <w:szCs w:val="28"/>
        </w:rPr>
        <w:t>的应急准备能力与应急处置能力。</w:t>
      </w:r>
    </w:p>
    <w:p w14:paraId="7E7C47E8">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针对性原则。编制水源地应急预案，应在全面调查和了解行政区域内水源地环境风险状况的基础上，针对不同类型的水源地、面临的不同环境风险，以及可能发生的突发环境事件情景，制定切实有效的应急处置措施。</w:t>
      </w:r>
    </w:p>
    <w:p w14:paraId="4F270B21">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right="0" w:rightChars="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）协调性原则。水源地应急预案，应作为</w:t>
      </w:r>
      <w:r>
        <w:rPr>
          <w:rFonts w:hint="eastAsia" w:ascii="Times New Roman" w:hAnsi="Times New Roman" w:cs="Times New Roman"/>
          <w:sz w:val="28"/>
          <w:szCs w:val="28"/>
          <w:lang w:eastAsia="zh-CN"/>
        </w:rPr>
        <w:t>汾阳</w:t>
      </w:r>
      <w:r>
        <w:rPr>
          <w:rFonts w:hint="eastAsia" w:cs="Times New Roman"/>
          <w:sz w:val="28"/>
          <w:szCs w:val="28"/>
          <w:lang w:val="en-US" w:eastAsia="zh-CN"/>
        </w:rPr>
        <w:t>县级</w:t>
      </w:r>
      <w:r>
        <w:rPr>
          <w:rFonts w:hint="default" w:ascii="Times New Roman" w:hAnsi="Times New Roman" w:eastAsia="仿宋" w:cs="Times New Roman"/>
          <w:sz w:val="28"/>
          <w:szCs w:val="28"/>
        </w:rPr>
        <w:t>人民政府突发事件应急预案编制体系的重要组成部分，水源地应急预案与行政区域内的企业突发环境事件应急预案、道路交通事故应急预案等</w:t>
      </w:r>
      <w:r>
        <w:rPr>
          <w:rFonts w:hint="eastAsia" w:ascii="Times New Roman" w:hAnsi="Times New Roman" w:eastAsia="仿宋" w:cs="Times New Roman"/>
          <w:sz w:val="28"/>
          <w:szCs w:val="28"/>
          <w:lang w:val="en-US" w:eastAsia="zh-CN"/>
        </w:rPr>
        <w:t>预案</w:t>
      </w:r>
      <w:r>
        <w:rPr>
          <w:rFonts w:hint="default" w:ascii="Times New Roman" w:hAnsi="Times New Roman" w:eastAsia="仿宋" w:cs="Times New Roman"/>
          <w:sz w:val="28"/>
          <w:szCs w:val="28"/>
        </w:rPr>
        <w:t>有机衔接。</w:t>
      </w:r>
    </w:p>
    <w:p w14:paraId="21EA5CF6">
      <w:pPr>
        <w:pStyle w:val="13"/>
        <w:rPr>
          <w:rFonts w:hint="default" w:eastAsia="仿宋"/>
          <w:lang w:val="en-US" w:eastAsia="zh-CN"/>
        </w:rPr>
      </w:pPr>
    </w:p>
    <w:p w14:paraId="5A7975FB">
      <w:pPr>
        <w:keepNext w:val="0"/>
        <w:keepLines w:val="0"/>
        <w:pageBreakBefore w:val="0"/>
        <w:widowControl w:val="0"/>
        <w:kinsoku/>
        <w:overflowPunct/>
        <w:topLinePunct w:val="0"/>
        <w:bidi w:val="0"/>
        <w:spacing w:line="360"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br w:type="page"/>
      </w:r>
    </w:p>
    <w:p w14:paraId="108DE5E9">
      <w:pPr>
        <w:pStyle w:val="2"/>
        <w:bidi w:val="0"/>
        <w:rPr>
          <w:rFonts w:hint="default"/>
        </w:rPr>
      </w:pPr>
      <w:bookmarkStart w:id="19" w:name="_Toc6298"/>
      <w:bookmarkStart w:id="20" w:name="_Toc20552"/>
      <w:r>
        <w:rPr>
          <w:rFonts w:hint="default"/>
        </w:rPr>
        <w:t>第二章 饮用水水源概况</w:t>
      </w:r>
      <w:bookmarkEnd w:id="19"/>
      <w:bookmarkEnd w:id="20"/>
    </w:p>
    <w:p w14:paraId="6E7172FA">
      <w:pPr>
        <w:pStyle w:val="3"/>
        <w:bidi w:val="0"/>
        <w:rPr>
          <w:rFonts w:hint="default"/>
        </w:rPr>
      </w:pPr>
      <w:bookmarkStart w:id="21" w:name="_Toc21513"/>
      <w:bookmarkStart w:id="22" w:name="_Toc28000"/>
      <w:r>
        <w:rPr>
          <w:rFonts w:hint="default"/>
        </w:rPr>
        <w:t>2.1 水源建设工程概况</w:t>
      </w:r>
      <w:bookmarkEnd w:id="21"/>
      <w:bookmarkEnd w:id="22"/>
      <w:r>
        <w:rPr>
          <w:rFonts w:hint="default"/>
        </w:rPr>
        <w:t xml:space="preserve"> </w:t>
      </w:r>
    </w:p>
    <w:p w14:paraId="1CC34B2B">
      <w:pPr>
        <w:bidi w:val="0"/>
        <w:rPr>
          <w:rFonts w:hint="default"/>
          <w:b/>
          <w:bCs/>
          <w:lang w:val="en-US" w:eastAsia="zh-CN"/>
        </w:rPr>
      </w:pPr>
      <w:r>
        <w:rPr>
          <w:rFonts w:hint="eastAsia"/>
          <w:b/>
          <w:bCs/>
          <w:lang w:val="en-US" w:eastAsia="zh-CN"/>
        </w:rPr>
        <w:t>1.贾家庄镇</w:t>
      </w:r>
      <w:r>
        <w:rPr>
          <w:rFonts w:hint="default"/>
          <w:b/>
          <w:bCs/>
          <w:lang w:val="en-US" w:eastAsia="zh-CN"/>
        </w:rPr>
        <w:t>集中供水水源</w:t>
      </w:r>
    </w:p>
    <w:p w14:paraId="2DB493B5">
      <w:pPr>
        <w:bidi w:val="0"/>
        <w:rPr>
          <w:rFonts w:hint="default"/>
          <w:lang w:val="en-US" w:eastAsia="zh-CN"/>
        </w:rPr>
      </w:pPr>
      <w:r>
        <w:rPr>
          <w:rFonts w:hint="default"/>
          <w:lang w:val="en-US" w:eastAsia="zh-CN"/>
        </w:rPr>
        <w:t>贾家庄镇集中供水水源位于贾家庄镇贾家庄村，有1眼供水井。2003年10月投入运行，供水量为20万m</w:t>
      </w:r>
      <w:r>
        <w:rPr>
          <w:rFonts w:hint="eastAsia"/>
          <w:vertAlign w:val="superscript"/>
          <w:lang w:val="en-US" w:eastAsia="zh-CN"/>
        </w:rPr>
        <w:t>3</w:t>
      </w:r>
      <w:r>
        <w:rPr>
          <w:rFonts w:hint="eastAsia"/>
          <w:lang w:val="en-US" w:eastAsia="zh-CN"/>
        </w:rPr>
        <w:t>/</w:t>
      </w:r>
      <w:r>
        <w:rPr>
          <w:rFonts w:hint="default"/>
          <w:lang w:val="en-US" w:eastAsia="zh-CN"/>
        </w:rPr>
        <w:t>a。现有水源井1眼，配有加压泵、蓄水池，通过加压将水注入蓄水池，后通过管网送到用户院内。</w:t>
      </w:r>
      <w:r>
        <w:rPr>
          <w:rFonts w:hint="eastAsia"/>
          <w:lang w:val="en-US" w:eastAsia="zh-CN"/>
        </w:rPr>
        <w:t>服务对象为贾家庄村等4个村、镇政府，服务人口为5000人。</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E20B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center"/>
          </w:tcPr>
          <w:p w14:paraId="7A3D09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default"/>
                <w:b/>
                <w:bCs/>
                <w:sz w:val="21"/>
                <w:szCs w:val="21"/>
                <w:vertAlign w:val="baseline"/>
                <w:lang w:val="en-US" w:eastAsia="zh-CN"/>
              </w:rPr>
              <w:drawing>
                <wp:inline distT="0" distB="0" distL="114300" distR="114300">
                  <wp:extent cx="5266690" cy="2962910"/>
                  <wp:effectExtent l="0" t="0" r="10160" b="8890"/>
                  <wp:docPr id="45" name="图片 1" descr="IMG_20250702_16263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descr="IMG_20250702_162636881"/>
                          <pic:cNvPicPr>
                            <a:picLocks noChangeAspect="1"/>
                          </pic:cNvPicPr>
                        </pic:nvPicPr>
                        <pic:blipFill>
                          <a:blip r:embed="rId24"/>
                          <a:stretch>
                            <a:fillRect/>
                          </a:stretch>
                        </pic:blipFill>
                        <pic:spPr>
                          <a:xfrm>
                            <a:off x="0" y="0"/>
                            <a:ext cx="5266690" cy="2962910"/>
                          </a:xfrm>
                          <a:prstGeom prst="rect">
                            <a:avLst/>
                          </a:prstGeom>
                          <a:noFill/>
                          <a:ln>
                            <a:noFill/>
                          </a:ln>
                        </pic:spPr>
                      </pic:pic>
                    </a:graphicData>
                  </a:graphic>
                </wp:inline>
              </w:drawing>
            </w:r>
          </w:p>
        </w:tc>
      </w:tr>
      <w:tr w14:paraId="5FECC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noWrap w:val="0"/>
            <w:vAlign w:val="center"/>
          </w:tcPr>
          <w:p w14:paraId="43882F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贾家庄镇集中供水水源</w:t>
            </w:r>
          </w:p>
        </w:tc>
      </w:tr>
    </w:tbl>
    <w:p w14:paraId="503B3826">
      <w:pPr>
        <w:bidi w:val="0"/>
        <w:rPr>
          <w:rFonts w:hint="default"/>
          <w:b/>
          <w:bCs/>
          <w:lang w:val="en-US" w:eastAsia="zh-CN"/>
        </w:rPr>
      </w:pPr>
      <w:r>
        <w:rPr>
          <w:rFonts w:hint="eastAsia"/>
          <w:b/>
          <w:bCs/>
          <w:lang w:val="en-US" w:eastAsia="zh-CN"/>
        </w:rPr>
        <w:t>2.杏花村镇集中</w:t>
      </w:r>
      <w:r>
        <w:rPr>
          <w:rFonts w:hint="default"/>
          <w:b/>
          <w:bCs/>
          <w:lang w:val="en-US" w:eastAsia="zh-CN"/>
        </w:rPr>
        <w:t>供水水源</w:t>
      </w:r>
    </w:p>
    <w:p w14:paraId="35F2C44C">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杏花村镇集中供水水源有2个集中供水井，均位于</w:t>
      </w:r>
      <w:r>
        <w:rPr>
          <w:rFonts w:hint="eastAsia"/>
          <w:lang w:val="en-US" w:eastAsia="zh-CN"/>
        </w:rPr>
        <w:t>杏花村</w:t>
      </w:r>
      <w:r>
        <w:rPr>
          <w:rFonts w:hint="default"/>
          <w:lang w:val="en-US" w:eastAsia="zh-CN"/>
        </w:rPr>
        <w:t>镇，该井开采第四系中、下更新统孔隙水，也称为开采第二、第三承压水含水岩组孔隙水。配有加压泵、水塔，通过加压将水注入水塔，后通过管网送到用户院内，实现供水。</w:t>
      </w:r>
      <w:r>
        <w:rPr>
          <w:rFonts w:hint="eastAsia"/>
          <w:lang w:val="en-US" w:eastAsia="zh-CN"/>
        </w:rPr>
        <w:t>设计取水量为600m</w:t>
      </w:r>
      <w:r>
        <w:rPr>
          <w:rFonts w:hint="eastAsia"/>
          <w:vertAlign w:val="superscript"/>
          <w:lang w:val="en-US" w:eastAsia="zh-CN"/>
        </w:rPr>
        <w:t>3</w:t>
      </w:r>
      <w:r>
        <w:rPr>
          <w:rFonts w:hint="eastAsia"/>
          <w:lang w:val="en-US" w:eastAsia="zh-CN"/>
        </w:rPr>
        <w:t>/d，实际取水量为480m</w:t>
      </w:r>
      <w:r>
        <w:rPr>
          <w:rFonts w:hint="eastAsia"/>
          <w:vertAlign w:val="superscript"/>
          <w:lang w:val="en-US" w:eastAsia="zh-CN"/>
        </w:rPr>
        <w:t>3</w:t>
      </w:r>
      <w:r>
        <w:rPr>
          <w:rFonts w:hint="eastAsia"/>
          <w:lang w:val="en-US" w:eastAsia="zh-CN"/>
        </w:rPr>
        <w:t>/d，服务人口4000人。</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97FE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center"/>
          </w:tcPr>
          <w:p w14:paraId="7D4755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drawing>
                <wp:inline distT="0" distB="0" distL="114300" distR="114300">
                  <wp:extent cx="5272405" cy="2794000"/>
                  <wp:effectExtent l="0" t="0" r="4445" b="635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5"/>
                          <a:srcRect t="9076" b="10249"/>
                          <a:stretch>
                            <a:fillRect/>
                          </a:stretch>
                        </pic:blipFill>
                        <pic:spPr>
                          <a:xfrm>
                            <a:off x="0" y="0"/>
                            <a:ext cx="5272405" cy="2794000"/>
                          </a:xfrm>
                          <a:prstGeom prst="rect">
                            <a:avLst/>
                          </a:prstGeom>
                          <a:noFill/>
                          <a:ln>
                            <a:noFill/>
                          </a:ln>
                        </pic:spPr>
                      </pic:pic>
                    </a:graphicData>
                  </a:graphic>
                </wp:inline>
              </w:drawing>
            </w:r>
          </w:p>
        </w:tc>
      </w:tr>
      <w:tr w14:paraId="7C5D5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center"/>
          </w:tcPr>
          <w:p w14:paraId="2A631B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杏花村镇集中供水水源</w:t>
            </w:r>
          </w:p>
        </w:tc>
      </w:tr>
    </w:tbl>
    <w:p w14:paraId="0BB2C5C8">
      <w:pPr>
        <w:bidi w:val="0"/>
        <w:rPr>
          <w:rFonts w:hint="default"/>
          <w:b/>
          <w:bCs/>
          <w:lang w:val="en-US" w:eastAsia="zh-CN"/>
        </w:rPr>
      </w:pPr>
      <w:r>
        <w:rPr>
          <w:rFonts w:hint="eastAsia"/>
          <w:b/>
          <w:bCs/>
          <w:lang w:val="en-US" w:eastAsia="zh-CN"/>
        </w:rPr>
        <w:t>3.冀村镇</w:t>
      </w:r>
      <w:r>
        <w:rPr>
          <w:rFonts w:hint="default"/>
          <w:b/>
          <w:bCs/>
          <w:lang w:val="en-US" w:eastAsia="zh-CN"/>
        </w:rPr>
        <w:t>集中供水水源</w:t>
      </w:r>
    </w:p>
    <w:p w14:paraId="6E1A2090">
      <w:pPr>
        <w:bidi w:val="0"/>
        <w:rPr>
          <w:rFonts w:hint="default"/>
          <w:lang w:val="en-US" w:eastAsia="zh-CN"/>
        </w:rPr>
      </w:pPr>
      <w:r>
        <w:rPr>
          <w:rFonts w:hint="default"/>
          <w:lang w:val="en-US" w:eastAsia="zh-CN"/>
        </w:rPr>
        <w:t>冀村镇集中供水水源供水井位于冀村村北</w:t>
      </w:r>
      <w:r>
        <w:rPr>
          <w:rFonts w:hint="eastAsia"/>
          <w:lang w:val="en-US" w:eastAsia="zh-CN"/>
        </w:rPr>
        <w:t>，</w:t>
      </w:r>
      <w:r>
        <w:rPr>
          <w:rFonts w:hint="default"/>
          <w:lang w:val="en-US" w:eastAsia="zh-CN"/>
        </w:rPr>
        <w:t>商业街中段路东旧乡机电站门口街道上，井口标高861m，水文地质单元属于盆地区冲洪积倾斜平原区，地下水类型属于松散岩类孔隙水</w:t>
      </w:r>
      <w:r>
        <w:rPr>
          <w:rFonts w:hint="eastAsia"/>
          <w:lang w:val="en-US" w:eastAsia="zh-CN"/>
        </w:rPr>
        <w:t>，</w:t>
      </w:r>
      <w:r>
        <w:rPr>
          <w:rFonts w:hint="default"/>
          <w:lang w:val="en-US" w:eastAsia="zh-CN"/>
        </w:rPr>
        <w:t>设计供水量为</w:t>
      </w:r>
      <w:r>
        <w:rPr>
          <w:rFonts w:hint="eastAsia"/>
          <w:lang w:val="en-US" w:eastAsia="zh-CN"/>
        </w:rPr>
        <w:t>840</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，实际供水量为800</w:t>
      </w:r>
      <w:r>
        <w:rPr>
          <w:rFonts w:hint="default"/>
          <w:lang w:val="en-US" w:eastAsia="zh-CN"/>
        </w:rPr>
        <w:t>m</w:t>
      </w:r>
      <w:r>
        <w:rPr>
          <w:rFonts w:hint="default"/>
          <w:vertAlign w:val="superscript"/>
          <w:lang w:val="en-US" w:eastAsia="zh-CN"/>
        </w:rPr>
        <w:t>3</w:t>
      </w:r>
      <w:r>
        <w:rPr>
          <w:rFonts w:hint="default"/>
          <w:lang w:val="en-US" w:eastAsia="zh-CN"/>
        </w:rPr>
        <w:t>/d。服务对象</w:t>
      </w:r>
      <w:r>
        <w:rPr>
          <w:rFonts w:hint="eastAsia"/>
          <w:lang w:val="en-US" w:eastAsia="zh-CN"/>
        </w:rPr>
        <w:t>为</w:t>
      </w:r>
      <w:r>
        <w:rPr>
          <w:rFonts w:hint="eastAsia"/>
          <w:kern w:val="0"/>
          <w:szCs w:val="21"/>
        </w:rPr>
        <w:t>镇政府、冀村等村、学校及驻地企事业单位</w:t>
      </w:r>
      <w:r>
        <w:rPr>
          <w:rFonts w:hint="default"/>
          <w:lang w:val="en-US" w:eastAsia="zh-CN"/>
        </w:rPr>
        <w:t>，服务人口</w:t>
      </w:r>
      <w:r>
        <w:rPr>
          <w:rFonts w:hint="eastAsia"/>
          <w:lang w:val="en-US" w:eastAsia="zh-CN"/>
        </w:rPr>
        <w:t>10000</w:t>
      </w:r>
      <w:r>
        <w:rPr>
          <w:rFonts w:hint="default"/>
          <w:lang w:val="en-US" w:eastAsia="zh-CN"/>
        </w:rPr>
        <w:t>人。</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33C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00" w:type="pct"/>
            <w:noWrap w:val="0"/>
            <w:vAlign w:val="center"/>
          </w:tcPr>
          <w:p w14:paraId="04E827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default"/>
                <w:b/>
                <w:bCs/>
                <w:sz w:val="21"/>
                <w:szCs w:val="21"/>
                <w:vertAlign w:val="baseline"/>
                <w:lang w:val="en-US" w:eastAsia="zh-CN"/>
              </w:rPr>
              <w:drawing>
                <wp:inline distT="0" distB="0" distL="114300" distR="114300">
                  <wp:extent cx="5266690" cy="2962910"/>
                  <wp:effectExtent l="0" t="0" r="10160" b="8890"/>
                  <wp:docPr id="42" name="图片 3" descr="IMG_20250701_10004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descr="IMG_20250701_100044822"/>
                          <pic:cNvPicPr>
                            <a:picLocks noChangeAspect="1"/>
                          </pic:cNvPicPr>
                        </pic:nvPicPr>
                        <pic:blipFill>
                          <a:blip r:embed="rId26"/>
                          <a:stretch>
                            <a:fillRect/>
                          </a:stretch>
                        </pic:blipFill>
                        <pic:spPr>
                          <a:xfrm>
                            <a:off x="0" y="0"/>
                            <a:ext cx="5266690" cy="2962910"/>
                          </a:xfrm>
                          <a:prstGeom prst="rect">
                            <a:avLst/>
                          </a:prstGeom>
                          <a:noFill/>
                          <a:ln>
                            <a:noFill/>
                          </a:ln>
                        </pic:spPr>
                      </pic:pic>
                    </a:graphicData>
                  </a:graphic>
                </wp:inline>
              </w:drawing>
            </w:r>
          </w:p>
        </w:tc>
      </w:tr>
      <w:tr w14:paraId="198EE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center"/>
          </w:tcPr>
          <w:p w14:paraId="7C1B16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冀村镇集中供水水源</w:t>
            </w:r>
          </w:p>
        </w:tc>
      </w:tr>
    </w:tbl>
    <w:p w14:paraId="60759A71">
      <w:pPr>
        <w:bidi w:val="0"/>
        <w:rPr>
          <w:rFonts w:hint="eastAsia"/>
          <w:b/>
          <w:bCs/>
          <w:lang w:val="en-US" w:eastAsia="zh-CN"/>
        </w:rPr>
        <w:sectPr>
          <w:footerReference r:id="rId7" w:type="default"/>
          <w:pgSz w:w="11906" w:h="16838"/>
          <w:pgMar w:top="1440" w:right="1800" w:bottom="1440" w:left="1800" w:header="851" w:footer="794" w:gutter="0"/>
          <w:pgBorders>
            <w:top w:val="none" w:sz="0" w:space="0"/>
            <w:left w:val="none" w:sz="0" w:space="0"/>
            <w:bottom w:val="none" w:sz="0" w:space="0"/>
            <w:right w:val="none" w:sz="0" w:space="0"/>
          </w:pgBorders>
          <w:pgNumType w:fmt="decimal" w:start="1"/>
          <w:cols w:space="720" w:num="1"/>
          <w:rtlGutter w:val="0"/>
          <w:docGrid w:type="lines" w:linePitch="312" w:charSpace="0"/>
        </w:sectPr>
      </w:pPr>
    </w:p>
    <w:p w14:paraId="0103EA7D">
      <w:pPr>
        <w:bidi w:val="0"/>
        <w:rPr>
          <w:rFonts w:hint="default"/>
          <w:b/>
          <w:bCs/>
          <w:lang w:val="en-US" w:eastAsia="zh-CN"/>
        </w:rPr>
      </w:pPr>
      <w:r>
        <w:rPr>
          <w:rFonts w:hint="eastAsia"/>
          <w:b/>
          <w:bCs/>
          <w:lang w:val="en-US" w:eastAsia="zh-CN"/>
        </w:rPr>
        <w:t>4.肖家庄镇</w:t>
      </w:r>
      <w:r>
        <w:rPr>
          <w:rFonts w:hint="default"/>
          <w:b/>
          <w:bCs/>
          <w:lang w:val="en-US" w:eastAsia="zh-CN"/>
        </w:rPr>
        <w:t>集中供水水源</w:t>
      </w:r>
    </w:p>
    <w:p w14:paraId="7FE5D89F">
      <w:pPr>
        <w:bidi w:val="0"/>
        <w:jc w:val="both"/>
        <w:rPr>
          <w:rFonts w:hint="default" w:eastAsia="仿宋"/>
          <w:lang w:val="en-US" w:eastAsia="zh-CN"/>
        </w:rPr>
      </w:pPr>
      <w:r>
        <w:rPr>
          <w:rFonts w:hint="default"/>
          <w:lang w:val="en-US" w:eastAsia="zh-CN"/>
        </w:rPr>
        <w:t>肖家庄镇集中供水水源包括2个集中供水井，均位于栗家庄</w:t>
      </w:r>
      <w:r>
        <w:rPr>
          <w:rFonts w:hint="eastAsia"/>
          <w:lang w:val="en-US" w:eastAsia="zh-CN"/>
        </w:rPr>
        <w:t>镇</w:t>
      </w:r>
      <w:r>
        <w:rPr>
          <w:rFonts w:hint="default"/>
          <w:lang w:val="en-US" w:eastAsia="zh-CN"/>
        </w:rPr>
        <w:t>栗家庄村，地貌单元为黄土丘陵区，地下水类型属于松散岩类埋藏型岩溶水，岩溶水归属于郭庄泉域北端补给区。设计供水量为</w:t>
      </w:r>
      <w:r>
        <w:rPr>
          <w:rFonts w:hint="eastAsia"/>
          <w:lang w:val="en-US" w:eastAsia="zh-CN"/>
        </w:rPr>
        <w:t>1640</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，实际供水量为1200</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，服务对象为</w:t>
      </w:r>
      <w:r>
        <w:rPr>
          <w:rFonts w:hint="eastAsia"/>
          <w:kern w:val="0"/>
          <w:szCs w:val="21"/>
        </w:rPr>
        <w:t>镇政府、肖家庄村等村、学校及驻地企事业单位</w:t>
      </w:r>
      <w:r>
        <w:rPr>
          <w:rFonts w:hint="eastAsia"/>
          <w:kern w:val="0"/>
          <w:szCs w:val="21"/>
          <w:lang w:eastAsia="zh-CN"/>
        </w:rPr>
        <w:t>，</w:t>
      </w:r>
      <w:r>
        <w:rPr>
          <w:rFonts w:hint="eastAsia"/>
          <w:kern w:val="0"/>
          <w:szCs w:val="21"/>
          <w:lang w:val="en-US" w:eastAsia="zh-CN"/>
        </w:rPr>
        <w:t>服务人口13500人。</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F08E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5000" w:type="pct"/>
            <w:noWrap w:val="0"/>
            <w:vAlign w:val="center"/>
          </w:tcPr>
          <w:p w14:paraId="385AF5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default"/>
                <w:b/>
                <w:bCs/>
                <w:sz w:val="21"/>
                <w:szCs w:val="21"/>
                <w:vertAlign w:val="baseline"/>
                <w:lang w:val="en-US" w:eastAsia="zh-CN"/>
              </w:rPr>
              <w:drawing>
                <wp:inline distT="0" distB="0" distL="114300" distR="114300">
                  <wp:extent cx="5266690" cy="2962910"/>
                  <wp:effectExtent l="0" t="0" r="10160" b="8890"/>
                  <wp:docPr id="49" name="图片 4" descr="IMG_20250702_16373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descr="IMG_20250702_163738292"/>
                          <pic:cNvPicPr>
                            <a:picLocks noChangeAspect="1"/>
                          </pic:cNvPicPr>
                        </pic:nvPicPr>
                        <pic:blipFill>
                          <a:blip r:embed="rId27"/>
                          <a:stretch>
                            <a:fillRect/>
                          </a:stretch>
                        </pic:blipFill>
                        <pic:spPr>
                          <a:xfrm>
                            <a:off x="0" y="0"/>
                            <a:ext cx="5266690" cy="2962910"/>
                          </a:xfrm>
                          <a:prstGeom prst="rect">
                            <a:avLst/>
                          </a:prstGeom>
                          <a:noFill/>
                          <a:ln>
                            <a:noFill/>
                          </a:ln>
                        </pic:spPr>
                      </pic:pic>
                    </a:graphicData>
                  </a:graphic>
                </wp:inline>
              </w:drawing>
            </w:r>
          </w:p>
        </w:tc>
      </w:tr>
      <w:tr w14:paraId="4546E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center"/>
          </w:tcPr>
          <w:p w14:paraId="48468D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肖家庄集中供水水源</w:t>
            </w:r>
          </w:p>
        </w:tc>
      </w:tr>
    </w:tbl>
    <w:p w14:paraId="67D8B36B">
      <w:pPr>
        <w:bidi w:val="0"/>
        <w:rPr>
          <w:rFonts w:hint="default"/>
          <w:b/>
          <w:bCs/>
          <w:lang w:val="en-US" w:eastAsia="zh-CN"/>
        </w:rPr>
      </w:pPr>
      <w:r>
        <w:rPr>
          <w:rFonts w:hint="eastAsia"/>
          <w:b/>
          <w:bCs/>
          <w:lang w:val="en-US" w:eastAsia="zh-CN"/>
        </w:rPr>
        <w:t>5.演武镇</w:t>
      </w:r>
      <w:r>
        <w:rPr>
          <w:rFonts w:hint="default"/>
          <w:b/>
          <w:bCs/>
          <w:lang w:val="en-US" w:eastAsia="zh-CN"/>
        </w:rPr>
        <w:t>集中供水水源</w:t>
      </w:r>
    </w:p>
    <w:p w14:paraId="0B54E5CE">
      <w:pPr>
        <w:bidi w:val="0"/>
        <w:jc w:val="both"/>
        <w:rPr>
          <w:rFonts w:hint="default" w:eastAsia="仿宋"/>
          <w:lang w:val="en-US" w:eastAsia="zh-CN"/>
        </w:rPr>
      </w:pPr>
      <w:r>
        <w:rPr>
          <w:rFonts w:hint="default"/>
          <w:lang w:val="en-US" w:eastAsia="zh-CN"/>
        </w:rPr>
        <w:t>演武镇政府集中供水水源位于栗家庄乡栗家庄村，共有2个集中供水井，地貌单元为黄土丘陵，地下水类型属于松散岩类埋藏型岩溶水，岩溶水归属于郭庄泉域北端补给区</w:t>
      </w:r>
      <w:r>
        <w:rPr>
          <w:rFonts w:hint="eastAsia"/>
          <w:lang w:val="en-US" w:eastAsia="zh-CN"/>
        </w:rPr>
        <w:t>。</w:t>
      </w:r>
      <w:r>
        <w:rPr>
          <w:rFonts w:hint="default"/>
          <w:lang w:val="en-US" w:eastAsia="zh-CN"/>
        </w:rPr>
        <w:t>设计供水量为</w:t>
      </w:r>
      <w:r>
        <w:rPr>
          <w:rFonts w:hint="eastAsia"/>
          <w:lang w:val="en-US" w:eastAsia="zh-CN"/>
        </w:rPr>
        <w:t>1850</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，实际供水量为1200</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，服务对象为</w:t>
      </w:r>
      <w:r>
        <w:rPr>
          <w:rFonts w:hint="eastAsia"/>
          <w:kern w:val="0"/>
          <w:szCs w:val="21"/>
        </w:rPr>
        <w:t>镇政府、演武村等村、学校及驻地企事业单位</w:t>
      </w:r>
      <w:r>
        <w:rPr>
          <w:rFonts w:hint="eastAsia"/>
          <w:kern w:val="0"/>
          <w:szCs w:val="21"/>
          <w:lang w:eastAsia="zh-CN"/>
        </w:rPr>
        <w:t>，</w:t>
      </w:r>
      <w:r>
        <w:rPr>
          <w:rFonts w:hint="eastAsia"/>
          <w:kern w:val="0"/>
          <w:szCs w:val="21"/>
          <w:lang w:val="en-US" w:eastAsia="zh-CN"/>
        </w:rPr>
        <w:t>服务人口16000人。</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CA1A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00" w:type="pct"/>
            <w:noWrap w:val="0"/>
            <w:vAlign w:val="center"/>
          </w:tcPr>
          <w:p w14:paraId="26F646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default"/>
                <w:b/>
                <w:bCs/>
                <w:sz w:val="21"/>
                <w:szCs w:val="21"/>
                <w:vertAlign w:val="baseline"/>
                <w:lang w:val="en-US" w:eastAsia="zh-CN"/>
              </w:rPr>
              <w:drawing>
                <wp:inline distT="0" distB="0" distL="114300" distR="114300">
                  <wp:extent cx="5266690" cy="2962910"/>
                  <wp:effectExtent l="0" t="0" r="10160" b="8890"/>
                  <wp:docPr id="28" name="图片 5" descr="IMG_20250702_16305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IMG_20250702_163052885"/>
                          <pic:cNvPicPr>
                            <a:picLocks noChangeAspect="1"/>
                          </pic:cNvPicPr>
                        </pic:nvPicPr>
                        <pic:blipFill>
                          <a:blip r:embed="rId28"/>
                          <a:stretch>
                            <a:fillRect/>
                          </a:stretch>
                        </pic:blipFill>
                        <pic:spPr>
                          <a:xfrm>
                            <a:off x="0" y="0"/>
                            <a:ext cx="5266690" cy="2962910"/>
                          </a:xfrm>
                          <a:prstGeom prst="rect">
                            <a:avLst/>
                          </a:prstGeom>
                          <a:noFill/>
                          <a:ln>
                            <a:noFill/>
                          </a:ln>
                        </pic:spPr>
                      </pic:pic>
                    </a:graphicData>
                  </a:graphic>
                </wp:inline>
              </w:drawing>
            </w:r>
          </w:p>
        </w:tc>
      </w:tr>
      <w:tr w14:paraId="1188E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center"/>
          </w:tcPr>
          <w:p w14:paraId="6F6BF5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演武镇集中供水水源</w:t>
            </w:r>
          </w:p>
        </w:tc>
      </w:tr>
    </w:tbl>
    <w:p w14:paraId="5373A205">
      <w:pPr>
        <w:bidi w:val="0"/>
        <w:rPr>
          <w:rFonts w:hint="eastAsia" w:ascii="Times New Roman" w:hAnsi="Times New Roman" w:cs="Times New Roman"/>
          <w:b/>
          <w:bCs/>
          <w:lang w:val="en-US" w:eastAsia="zh-CN"/>
        </w:rPr>
      </w:pPr>
      <w:r>
        <w:rPr>
          <w:rFonts w:hint="eastAsia" w:ascii="Times New Roman" w:hAnsi="Times New Roman" w:cs="Times New Roman"/>
          <w:b/>
          <w:bCs/>
          <w:lang w:val="en-US" w:eastAsia="zh-CN"/>
        </w:rPr>
        <w:t>6、三泉镇集中供水水源</w:t>
      </w:r>
    </w:p>
    <w:p w14:paraId="68C0C06A">
      <w:pPr>
        <w:bidi w:val="0"/>
        <w:rPr>
          <w:rFonts w:hint="default" w:eastAsia="仿宋"/>
          <w:lang w:val="en-US" w:eastAsia="zh-CN"/>
        </w:rPr>
      </w:pPr>
      <w:r>
        <w:rPr>
          <w:rFonts w:hint="default"/>
          <w:lang w:val="en-US" w:eastAsia="zh-CN"/>
        </w:rPr>
        <w:t>三泉镇集中供水水源位于三泉镇员庄村南1km，崞村北偏西1km，未利用。井口标高861m，供水井位于独立供水站院内，周围为绿化带，地貌单元为黄土台塬，地下水类型属于松散岩类埋藏型岩溶水，岩溶水归属于郭庄泉域北端补给</w:t>
      </w:r>
      <w:r>
        <w:rPr>
          <w:rFonts w:hint="eastAsia"/>
          <w:lang w:val="en-US" w:eastAsia="zh-CN"/>
        </w:rPr>
        <w:t>，</w:t>
      </w:r>
      <w:r>
        <w:rPr>
          <w:rFonts w:hint="default"/>
          <w:lang w:val="en-US" w:eastAsia="zh-CN"/>
        </w:rPr>
        <w:t>设计供水量为</w:t>
      </w:r>
      <w:r>
        <w:rPr>
          <w:rFonts w:hint="eastAsia"/>
          <w:lang w:val="en-US" w:eastAsia="zh-CN"/>
        </w:rPr>
        <w:t>700</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，实际供水量为700</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，服务对象为</w:t>
      </w:r>
      <w:r>
        <w:rPr>
          <w:rFonts w:hint="eastAsia"/>
          <w:kern w:val="0"/>
          <w:szCs w:val="21"/>
          <w:lang w:val="en-US" w:eastAsia="zh-CN"/>
        </w:rPr>
        <w:t>员庄村、北榆苑村、任义庄村、张新堡村、赵家堡村、段家庄、仁道村、义丰南村、义丰北村等</w:t>
      </w:r>
      <w:r>
        <w:rPr>
          <w:rFonts w:hint="eastAsia"/>
          <w:kern w:val="0"/>
          <w:szCs w:val="21"/>
          <w:lang w:eastAsia="zh-CN"/>
        </w:rPr>
        <w:t>，</w:t>
      </w:r>
      <w:r>
        <w:rPr>
          <w:rFonts w:hint="eastAsia"/>
          <w:kern w:val="0"/>
          <w:szCs w:val="21"/>
          <w:lang w:val="en-US" w:eastAsia="zh-CN"/>
        </w:rPr>
        <w:t>服务人口10421人。</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67B4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00" w:type="pct"/>
            <w:noWrap w:val="0"/>
            <w:vAlign w:val="center"/>
          </w:tcPr>
          <w:p w14:paraId="72A576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default"/>
                <w:b/>
                <w:bCs/>
                <w:sz w:val="21"/>
                <w:szCs w:val="21"/>
                <w:vertAlign w:val="baseline"/>
                <w:lang w:val="en-US" w:eastAsia="zh-CN"/>
              </w:rPr>
              <w:drawing>
                <wp:inline distT="0" distB="0" distL="114300" distR="114300">
                  <wp:extent cx="3943985" cy="5258435"/>
                  <wp:effectExtent l="0" t="0" r="18415" b="18415"/>
                  <wp:docPr id="37" name="图片 6" descr="FDVK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descr="FDVK8241"/>
                          <pic:cNvPicPr>
                            <a:picLocks noChangeAspect="1"/>
                          </pic:cNvPicPr>
                        </pic:nvPicPr>
                        <pic:blipFill>
                          <a:blip r:embed="rId29"/>
                          <a:stretch>
                            <a:fillRect/>
                          </a:stretch>
                        </pic:blipFill>
                        <pic:spPr>
                          <a:xfrm rot="5400000">
                            <a:off x="0" y="0"/>
                            <a:ext cx="3943985" cy="5258435"/>
                          </a:xfrm>
                          <a:prstGeom prst="rect">
                            <a:avLst/>
                          </a:prstGeom>
                          <a:noFill/>
                          <a:ln>
                            <a:noFill/>
                          </a:ln>
                        </pic:spPr>
                      </pic:pic>
                    </a:graphicData>
                  </a:graphic>
                </wp:inline>
              </w:drawing>
            </w:r>
          </w:p>
        </w:tc>
      </w:tr>
      <w:tr w14:paraId="57EA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center"/>
          </w:tcPr>
          <w:p w14:paraId="7ACCA2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三泉镇集中供水水源</w:t>
            </w:r>
          </w:p>
        </w:tc>
      </w:tr>
    </w:tbl>
    <w:p w14:paraId="46A6BAE3">
      <w:pPr>
        <w:bidi w:val="0"/>
        <w:rPr>
          <w:rFonts w:hint="eastAsia" w:ascii="Times New Roman" w:hAnsi="Times New Roman" w:cs="Times New Roman"/>
          <w:b/>
          <w:bCs/>
          <w:lang w:val="en-US" w:eastAsia="zh-CN"/>
        </w:rPr>
      </w:pPr>
      <w:r>
        <w:rPr>
          <w:rFonts w:hint="eastAsia" w:cs="Times New Roman"/>
          <w:b/>
          <w:bCs/>
          <w:lang w:val="en-US" w:eastAsia="zh-CN"/>
        </w:rPr>
        <w:t>7</w:t>
      </w:r>
      <w:r>
        <w:rPr>
          <w:rFonts w:hint="eastAsia" w:ascii="Times New Roman" w:hAnsi="Times New Roman" w:cs="Times New Roman"/>
          <w:b/>
          <w:bCs/>
          <w:lang w:val="en-US" w:eastAsia="zh-CN"/>
        </w:rPr>
        <w:t>、杨家庄镇集中供水水源</w:t>
      </w:r>
    </w:p>
    <w:p w14:paraId="39E8AD99">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default"/>
          <w:lang w:val="en-US" w:eastAsia="zh-CN"/>
        </w:rPr>
        <w:t>杨家庄镇集中供水水源包括2个集中供水水井。地貌单元为盆地区，地下水类型属于松散岩类埋藏型岩溶水，岩溶水归属于郭庄泉域北端补给区。设计供水量为</w:t>
      </w:r>
      <w:r>
        <w:rPr>
          <w:rFonts w:hint="eastAsia"/>
          <w:lang w:val="en-US" w:eastAsia="zh-CN"/>
        </w:rPr>
        <w:t>700</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，实际供水量为700</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，服务对象为</w:t>
      </w:r>
      <w:r>
        <w:rPr>
          <w:rFonts w:hint="eastAsia"/>
        </w:rPr>
        <w:t>杨家庄村</w:t>
      </w:r>
      <w:r>
        <w:rPr>
          <w:rFonts w:hint="eastAsia"/>
          <w:lang w:eastAsia="zh-CN"/>
        </w:rPr>
        <w:t>、</w:t>
      </w:r>
      <w:r>
        <w:rPr>
          <w:rFonts w:hint="eastAsia"/>
          <w:lang w:val="en-US" w:eastAsia="zh-CN"/>
        </w:rPr>
        <w:t>庄子村、南偏城村、北偏城村、靳家庄村、中庄村、焉头村、南焉村等</w:t>
      </w:r>
      <w:r>
        <w:rPr>
          <w:rFonts w:hint="eastAsia"/>
          <w:lang w:eastAsia="zh-CN"/>
        </w:rPr>
        <w:t>，</w:t>
      </w:r>
      <w:r>
        <w:rPr>
          <w:rFonts w:hint="eastAsia"/>
          <w:lang w:val="en-US" w:eastAsia="zh-CN"/>
        </w:rPr>
        <w:t>服务人口为4041人。</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0E4B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00" w:type="pct"/>
            <w:noWrap w:val="0"/>
            <w:vAlign w:val="center"/>
          </w:tcPr>
          <w:p w14:paraId="5147E6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default"/>
                <w:b/>
                <w:bCs/>
                <w:sz w:val="21"/>
                <w:szCs w:val="21"/>
                <w:vertAlign w:val="baseline"/>
                <w:lang w:val="en-US" w:eastAsia="zh-CN"/>
              </w:rPr>
              <w:drawing>
                <wp:inline distT="0" distB="0" distL="114300" distR="114300">
                  <wp:extent cx="5186045" cy="2917825"/>
                  <wp:effectExtent l="0" t="0" r="14605" b="15875"/>
                  <wp:docPr id="31" name="图片 13" descr="IMG_20250703_09395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descr="IMG_20250703_093950857"/>
                          <pic:cNvPicPr>
                            <a:picLocks noChangeAspect="1"/>
                          </pic:cNvPicPr>
                        </pic:nvPicPr>
                        <pic:blipFill>
                          <a:blip r:embed="rId30"/>
                          <a:stretch>
                            <a:fillRect/>
                          </a:stretch>
                        </pic:blipFill>
                        <pic:spPr>
                          <a:xfrm>
                            <a:off x="0" y="0"/>
                            <a:ext cx="5186045" cy="2917825"/>
                          </a:xfrm>
                          <a:prstGeom prst="rect">
                            <a:avLst/>
                          </a:prstGeom>
                          <a:noFill/>
                          <a:ln>
                            <a:noFill/>
                          </a:ln>
                        </pic:spPr>
                      </pic:pic>
                    </a:graphicData>
                  </a:graphic>
                </wp:inline>
              </w:drawing>
            </w:r>
          </w:p>
        </w:tc>
      </w:tr>
      <w:tr w14:paraId="086A7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center"/>
          </w:tcPr>
          <w:p w14:paraId="02CF64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杨家庄镇集中供水水源</w:t>
            </w:r>
          </w:p>
        </w:tc>
      </w:tr>
    </w:tbl>
    <w:p w14:paraId="4EB88D24">
      <w:pPr>
        <w:bidi w:val="0"/>
        <w:rPr>
          <w:rFonts w:hint="default" w:ascii="Times New Roman" w:hAnsi="Times New Roman" w:cs="Times New Roman"/>
          <w:b/>
          <w:bCs/>
          <w:lang w:val="en-US" w:eastAsia="zh-CN"/>
        </w:rPr>
      </w:pPr>
      <w:r>
        <w:rPr>
          <w:rFonts w:hint="eastAsia" w:cs="Times New Roman"/>
          <w:b/>
          <w:bCs/>
          <w:lang w:val="en-US" w:eastAsia="zh-CN"/>
        </w:rPr>
        <w:t>8</w:t>
      </w:r>
      <w:r>
        <w:rPr>
          <w:rFonts w:hint="eastAsia" w:ascii="Times New Roman" w:hAnsi="Times New Roman" w:cs="Times New Roman"/>
          <w:b/>
          <w:bCs/>
          <w:lang w:val="en-US" w:eastAsia="zh-CN"/>
        </w:rPr>
        <w:t>、峪道河镇集中供水水源</w:t>
      </w:r>
    </w:p>
    <w:p w14:paraId="0F3ABBC5">
      <w:pPr>
        <w:keepNext w:val="0"/>
        <w:keepLines w:val="0"/>
        <w:pageBreakBefore w:val="0"/>
        <w:widowControl w:val="0"/>
        <w:kinsoku/>
        <w:wordWrap/>
        <w:overflowPunct/>
        <w:topLinePunct w:val="0"/>
        <w:autoSpaceDE/>
        <w:autoSpaceDN/>
        <w:bidi w:val="0"/>
        <w:adjustRightInd w:val="0"/>
        <w:snapToGrid w:val="0"/>
        <w:textAlignment w:val="auto"/>
        <w:rPr>
          <w:rFonts w:hint="default" w:eastAsia="仿宋"/>
          <w:lang w:val="en-US" w:eastAsia="zh-CN"/>
        </w:rPr>
      </w:pPr>
      <w:r>
        <w:rPr>
          <w:rFonts w:hint="default"/>
          <w:lang w:val="en-US" w:eastAsia="zh-CN"/>
        </w:rPr>
        <w:t>泉水出露水泉村西北，位于黄土丘陵边山脚下，供给峪道河镇、峪道河村、学校等单位饮用水源，泉水定名为水泉，泉水出露标高889m，泉水出露地点修建古老泉牌幅一座，引泉集水建筑物一座，封闭条件良好，泉水出露下游及周边为村庄，但无有人类污染现象，采用地形高差自流引水，利用PUC专用饮用水管4</w:t>
      </w:r>
      <w:r>
        <w:rPr>
          <w:rFonts w:hint="eastAsia"/>
          <w:lang w:val="en-US" w:eastAsia="zh-CN"/>
        </w:rPr>
        <w:t>寸</w:t>
      </w:r>
      <w:r>
        <w:rPr>
          <w:rFonts w:hint="default"/>
          <w:lang w:val="en-US" w:eastAsia="zh-CN"/>
        </w:rPr>
        <w:t>掩埋于冻土层1.5m以下，地貌单元属于边山黄土丘陵低山区。</w:t>
      </w:r>
      <w:r>
        <w:rPr>
          <w:rFonts w:hint="eastAsia"/>
          <w:lang w:val="en-US" w:eastAsia="zh-CN"/>
        </w:rPr>
        <w:t>服务对象为</w:t>
      </w:r>
      <w:r>
        <w:rPr>
          <w:rFonts w:hint="eastAsia"/>
          <w:kern w:val="0"/>
          <w:szCs w:val="21"/>
        </w:rPr>
        <w:t>镇政府、</w:t>
      </w:r>
      <w:r>
        <w:rPr>
          <w:rFonts w:hint="eastAsia"/>
          <w:kern w:val="0"/>
          <w:szCs w:val="21"/>
          <w:lang w:val="en-US" w:eastAsia="zh-CN"/>
        </w:rPr>
        <w:t>峪道河</w:t>
      </w:r>
      <w:r>
        <w:rPr>
          <w:rFonts w:hint="eastAsia"/>
          <w:kern w:val="0"/>
          <w:szCs w:val="21"/>
        </w:rPr>
        <w:t>村等村、学校及驻地企事业单位</w:t>
      </w:r>
      <w:r>
        <w:rPr>
          <w:rFonts w:hint="eastAsia"/>
          <w:kern w:val="0"/>
          <w:szCs w:val="21"/>
          <w:lang w:eastAsia="zh-CN"/>
        </w:rPr>
        <w:t>，</w:t>
      </w:r>
      <w:r>
        <w:rPr>
          <w:rFonts w:hint="eastAsia"/>
          <w:kern w:val="0"/>
          <w:szCs w:val="21"/>
          <w:lang w:val="en-US" w:eastAsia="zh-CN"/>
        </w:rPr>
        <w:t>服务人口为3600人。</w:t>
      </w:r>
    </w:p>
    <w:tbl>
      <w:tblPr>
        <w:tblStyle w:val="19"/>
        <w:tblW w:w="4883" w:type="pct"/>
        <w:tblInd w:w="1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3"/>
      </w:tblGrid>
      <w:tr w14:paraId="0C4BF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00" w:type="pct"/>
            <w:noWrap w:val="0"/>
            <w:vAlign w:val="center"/>
          </w:tcPr>
          <w:p w14:paraId="7936BF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default"/>
                <w:b/>
                <w:bCs/>
                <w:sz w:val="21"/>
                <w:szCs w:val="21"/>
                <w:vertAlign w:val="baseline"/>
                <w:lang w:val="en-US" w:eastAsia="zh-CN"/>
              </w:rPr>
              <w:drawing>
                <wp:inline distT="0" distB="0" distL="114300" distR="114300">
                  <wp:extent cx="3545205" cy="5098415"/>
                  <wp:effectExtent l="0" t="0" r="6985" b="17145"/>
                  <wp:docPr id="13" name="图片 14" descr="DATA9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DATA9061"/>
                          <pic:cNvPicPr>
                            <a:picLocks noChangeAspect="1"/>
                          </pic:cNvPicPr>
                        </pic:nvPicPr>
                        <pic:blipFill>
                          <a:blip r:embed="rId31"/>
                          <a:srcRect r="7277"/>
                          <a:stretch>
                            <a:fillRect/>
                          </a:stretch>
                        </pic:blipFill>
                        <pic:spPr>
                          <a:xfrm rot="5400000">
                            <a:off x="0" y="0"/>
                            <a:ext cx="3545205" cy="5098415"/>
                          </a:xfrm>
                          <a:prstGeom prst="rect">
                            <a:avLst/>
                          </a:prstGeom>
                          <a:noFill/>
                          <a:ln>
                            <a:noFill/>
                          </a:ln>
                        </pic:spPr>
                      </pic:pic>
                    </a:graphicData>
                  </a:graphic>
                </wp:inline>
              </w:drawing>
            </w:r>
          </w:p>
        </w:tc>
      </w:tr>
      <w:tr w14:paraId="246A9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center"/>
          </w:tcPr>
          <w:p w14:paraId="23C7CE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峪道河镇集中供水水源</w:t>
            </w:r>
          </w:p>
        </w:tc>
      </w:tr>
    </w:tbl>
    <w:p w14:paraId="05BED8AE">
      <w:pPr>
        <w:bidi w:val="0"/>
        <w:rPr>
          <w:rFonts w:hint="eastAsia" w:ascii="Times New Roman" w:hAnsi="Times New Roman" w:cs="Times New Roman"/>
          <w:b/>
          <w:bCs/>
          <w:lang w:val="en-US" w:eastAsia="zh-CN"/>
        </w:rPr>
      </w:pPr>
      <w:r>
        <w:rPr>
          <w:rFonts w:hint="eastAsia" w:cs="Times New Roman"/>
          <w:b/>
          <w:bCs/>
          <w:lang w:val="en-US" w:eastAsia="zh-CN"/>
        </w:rPr>
        <w:t>9</w:t>
      </w:r>
      <w:r>
        <w:rPr>
          <w:rFonts w:hint="eastAsia" w:ascii="Times New Roman" w:hAnsi="Times New Roman" w:cs="Times New Roman"/>
          <w:b/>
          <w:bCs/>
          <w:lang w:val="en-US" w:eastAsia="zh-CN"/>
        </w:rPr>
        <w:t>、阳城乡集中供水水源</w:t>
      </w:r>
    </w:p>
    <w:p w14:paraId="32B79A65">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阳城乡集中供水水源包括2个集中供水水井，均位于栗家庄</w:t>
      </w:r>
      <w:r>
        <w:rPr>
          <w:rFonts w:hint="eastAsia"/>
          <w:lang w:val="en-US" w:eastAsia="zh-CN"/>
        </w:rPr>
        <w:t>镇</w:t>
      </w:r>
      <w:r>
        <w:rPr>
          <w:rFonts w:hint="default"/>
          <w:lang w:val="en-US" w:eastAsia="zh-CN"/>
        </w:rPr>
        <w:t>南恒底，1#与2#供水井间距137m</w:t>
      </w:r>
      <w:r>
        <w:rPr>
          <w:rFonts w:hint="eastAsia"/>
          <w:lang w:val="en-US" w:eastAsia="zh-CN"/>
        </w:rPr>
        <w:t>，</w:t>
      </w:r>
      <w:r>
        <w:rPr>
          <w:rFonts w:hint="default"/>
          <w:lang w:val="en-US" w:eastAsia="zh-CN"/>
        </w:rPr>
        <w:t>1#与2#孔之间存在断层</w:t>
      </w:r>
      <w:r>
        <w:rPr>
          <w:rFonts w:hint="eastAsia"/>
          <w:lang w:val="en-US" w:eastAsia="zh-CN"/>
        </w:rPr>
        <w:t>，</w:t>
      </w:r>
      <w:r>
        <w:rPr>
          <w:rFonts w:hint="default"/>
          <w:lang w:val="en-US" w:eastAsia="zh-CN"/>
        </w:rPr>
        <w:t>断距约300m</w:t>
      </w:r>
      <w:r>
        <w:rPr>
          <w:rFonts w:hint="eastAsia"/>
          <w:lang w:val="en-US" w:eastAsia="zh-CN"/>
        </w:rPr>
        <w:t>，</w:t>
      </w:r>
      <w:r>
        <w:rPr>
          <w:rFonts w:hint="default"/>
          <w:lang w:val="en-US" w:eastAsia="zh-CN"/>
        </w:rPr>
        <w:t>井口标高843m</w:t>
      </w:r>
      <w:r>
        <w:rPr>
          <w:rFonts w:hint="eastAsia"/>
          <w:lang w:val="en-US" w:eastAsia="zh-CN"/>
        </w:rPr>
        <w:t>，</w:t>
      </w:r>
      <w:r>
        <w:rPr>
          <w:rFonts w:hint="default"/>
          <w:lang w:val="en-US" w:eastAsia="zh-CN"/>
        </w:rPr>
        <w:t>地貌单元为山前倾斜平原，地下水类型属于松散岩类埋藏型岩溶水，岩溶水归属于郭庄泉域北端补给区。</w:t>
      </w:r>
      <w:r>
        <w:rPr>
          <w:rFonts w:hint="eastAsia"/>
          <w:lang w:val="en-US" w:eastAsia="zh-CN"/>
        </w:rPr>
        <w:t>服务对象为</w:t>
      </w:r>
      <w:r>
        <w:rPr>
          <w:rFonts w:hint="eastAsia"/>
          <w:kern w:val="0"/>
          <w:szCs w:val="21"/>
        </w:rPr>
        <w:t>镇政府、</w:t>
      </w:r>
      <w:r>
        <w:rPr>
          <w:rFonts w:hint="eastAsia"/>
          <w:kern w:val="0"/>
          <w:szCs w:val="21"/>
          <w:lang w:val="en-US" w:eastAsia="zh-CN"/>
        </w:rPr>
        <w:t>平陆</w:t>
      </w:r>
      <w:r>
        <w:rPr>
          <w:rFonts w:hint="eastAsia"/>
          <w:kern w:val="0"/>
          <w:szCs w:val="21"/>
        </w:rPr>
        <w:t>村等村、学校及驻地企事业单位</w:t>
      </w:r>
      <w:r>
        <w:rPr>
          <w:rFonts w:hint="eastAsia"/>
          <w:kern w:val="0"/>
          <w:szCs w:val="21"/>
          <w:lang w:eastAsia="zh-CN"/>
        </w:rPr>
        <w:t>，</w:t>
      </w:r>
      <w:r>
        <w:rPr>
          <w:rFonts w:hint="eastAsia"/>
          <w:kern w:val="0"/>
          <w:szCs w:val="21"/>
          <w:lang w:val="en-US" w:eastAsia="zh-CN"/>
        </w:rPr>
        <w:t>服务人口为2400人。</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3C35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00" w:type="pct"/>
            <w:noWrap w:val="0"/>
            <w:vAlign w:val="center"/>
          </w:tcPr>
          <w:p w14:paraId="0FCABF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default"/>
                <w:b/>
                <w:bCs/>
                <w:sz w:val="21"/>
                <w:szCs w:val="21"/>
                <w:vertAlign w:val="baseline"/>
                <w:lang w:val="en-US" w:eastAsia="zh-CN"/>
              </w:rPr>
              <w:drawing>
                <wp:inline distT="0" distB="0" distL="114300" distR="114300">
                  <wp:extent cx="5266690" cy="2962910"/>
                  <wp:effectExtent l="0" t="0" r="10160" b="8890"/>
                  <wp:docPr id="43" name="图片 15" descr="IMG_20250704_14190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descr="IMG_20250704_141908851"/>
                          <pic:cNvPicPr>
                            <a:picLocks noChangeAspect="1"/>
                          </pic:cNvPicPr>
                        </pic:nvPicPr>
                        <pic:blipFill>
                          <a:blip r:embed="rId32"/>
                          <a:stretch>
                            <a:fillRect/>
                          </a:stretch>
                        </pic:blipFill>
                        <pic:spPr>
                          <a:xfrm>
                            <a:off x="0" y="0"/>
                            <a:ext cx="5266690" cy="2962910"/>
                          </a:xfrm>
                          <a:prstGeom prst="rect">
                            <a:avLst/>
                          </a:prstGeom>
                          <a:noFill/>
                          <a:ln>
                            <a:noFill/>
                          </a:ln>
                        </pic:spPr>
                      </pic:pic>
                    </a:graphicData>
                  </a:graphic>
                </wp:inline>
              </w:drawing>
            </w:r>
          </w:p>
        </w:tc>
      </w:tr>
      <w:tr w14:paraId="73287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center"/>
          </w:tcPr>
          <w:p w14:paraId="55807A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阳城乡集中供水水源</w:t>
            </w:r>
          </w:p>
        </w:tc>
      </w:tr>
    </w:tbl>
    <w:p w14:paraId="508E89B4">
      <w:pPr>
        <w:bidi w:val="0"/>
        <w:rPr>
          <w:rFonts w:hint="eastAsia" w:ascii="Times New Roman" w:hAnsi="Times New Roman" w:cs="Times New Roman"/>
          <w:b/>
          <w:bCs/>
          <w:lang w:val="en-US" w:eastAsia="zh-CN"/>
        </w:rPr>
      </w:pPr>
      <w:r>
        <w:rPr>
          <w:rFonts w:hint="eastAsia" w:ascii="Times New Roman" w:hAnsi="Times New Roman" w:cs="Times New Roman"/>
          <w:b/>
          <w:bCs/>
          <w:lang w:val="en-US" w:eastAsia="zh-CN"/>
        </w:rPr>
        <w:t>1</w:t>
      </w:r>
      <w:r>
        <w:rPr>
          <w:rFonts w:hint="eastAsia" w:cs="Times New Roman"/>
          <w:b/>
          <w:bCs/>
          <w:lang w:val="en-US" w:eastAsia="zh-CN"/>
        </w:rPr>
        <w:t>0</w:t>
      </w:r>
      <w:r>
        <w:rPr>
          <w:rFonts w:hint="eastAsia" w:ascii="Times New Roman" w:hAnsi="Times New Roman" w:cs="Times New Roman"/>
          <w:b/>
          <w:bCs/>
          <w:lang w:val="en-US" w:eastAsia="zh-CN"/>
        </w:rPr>
        <w:t>、栗家庄乡集中供水水源</w:t>
      </w:r>
    </w:p>
    <w:p w14:paraId="664A5E3D">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栗家庄乡集中供水水源有2个集中供水水井，均位于栗家庄</w:t>
      </w:r>
      <w:r>
        <w:rPr>
          <w:rFonts w:hint="eastAsia"/>
          <w:lang w:val="en-US" w:eastAsia="zh-CN"/>
        </w:rPr>
        <w:t>镇</w:t>
      </w:r>
      <w:r>
        <w:rPr>
          <w:rFonts w:hint="default"/>
          <w:lang w:val="en-US" w:eastAsia="zh-CN"/>
        </w:rPr>
        <w:t>栗家庄村，集中供水井位于栗家庄</w:t>
      </w:r>
      <w:r>
        <w:rPr>
          <w:rFonts w:hint="eastAsia"/>
          <w:lang w:val="en-US" w:eastAsia="zh-CN"/>
        </w:rPr>
        <w:t>镇</w:t>
      </w:r>
      <w:r>
        <w:rPr>
          <w:rFonts w:hint="default"/>
          <w:lang w:val="en-US" w:eastAsia="zh-CN"/>
        </w:rPr>
        <w:t>栗家庄村西南500m桑间地块内</w:t>
      </w:r>
      <w:r>
        <w:rPr>
          <w:rFonts w:hint="eastAsia"/>
          <w:lang w:val="en-US" w:eastAsia="zh-CN"/>
        </w:rPr>
        <w:t>，</w:t>
      </w:r>
      <w:r>
        <w:rPr>
          <w:rFonts w:hint="default"/>
          <w:lang w:val="en-US" w:eastAsia="zh-CN"/>
        </w:rPr>
        <w:t>供水并位于供水站院内井口周边有松树、梨树等，地貌单元为黄土丘陵，地下水类型属于松散岩类埋藏型岩溶水，岩溶水归属于郭庄泉域北端补给区。</w:t>
      </w:r>
      <w:r>
        <w:rPr>
          <w:rFonts w:hint="eastAsia"/>
          <w:lang w:val="en-US" w:eastAsia="zh-CN"/>
        </w:rPr>
        <w:t>服务对象为</w:t>
      </w:r>
      <w:r>
        <w:rPr>
          <w:rFonts w:hint="eastAsia"/>
          <w:kern w:val="0"/>
          <w:szCs w:val="21"/>
          <w:lang w:val="en-US" w:eastAsia="zh-CN"/>
        </w:rPr>
        <w:t>栗家庄</w:t>
      </w:r>
      <w:r>
        <w:rPr>
          <w:rFonts w:hint="eastAsia"/>
          <w:kern w:val="0"/>
          <w:szCs w:val="21"/>
        </w:rPr>
        <w:t>村</w:t>
      </w:r>
      <w:r>
        <w:rPr>
          <w:rFonts w:hint="eastAsia"/>
          <w:kern w:val="0"/>
          <w:szCs w:val="21"/>
          <w:lang w:eastAsia="zh-CN"/>
        </w:rPr>
        <w:t>，</w:t>
      </w:r>
      <w:r>
        <w:rPr>
          <w:rFonts w:hint="eastAsia"/>
          <w:kern w:val="0"/>
          <w:szCs w:val="21"/>
          <w:lang w:val="en-US" w:eastAsia="zh-CN"/>
        </w:rPr>
        <w:t>服务人口为2513人。</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314A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00" w:type="pct"/>
            <w:noWrap w:val="0"/>
            <w:vAlign w:val="center"/>
          </w:tcPr>
          <w:p w14:paraId="38DE5F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default"/>
                <w:b/>
                <w:bCs/>
                <w:sz w:val="21"/>
                <w:szCs w:val="21"/>
                <w:vertAlign w:val="baseline"/>
                <w:lang w:val="en-US" w:eastAsia="zh-CN"/>
              </w:rPr>
              <w:drawing>
                <wp:inline distT="0" distB="0" distL="114300" distR="114300">
                  <wp:extent cx="3082925" cy="5258435"/>
                  <wp:effectExtent l="0" t="0" r="18415" b="3175"/>
                  <wp:docPr id="17" name="图片 16" descr="YIUF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YIUF3122"/>
                          <pic:cNvPicPr>
                            <a:picLocks noChangeAspect="1"/>
                          </pic:cNvPicPr>
                        </pic:nvPicPr>
                        <pic:blipFill>
                          <a:blip r:embed="rId33"/>
                          <a:srcRect l="21832"/>
                          <a:stretch>
                            <a:fillRect/>
                          </a:stretch>
                        </pic:blipFill>
                        <pic:spPr>
                          <a:xfrm rot="5400000">
                            <a:off x="0" y="0"/>
                            <a:ext cx="3082925" cy="5258435"/>
                          </a:xfrm>
                          <a:prstGeom prst="rect">
                            <a:avLst/>
                          </a:prstGeom>
                          <a:noFill/>
                          <a:ln>
                            <a:noFill/>
                          </a:ln>
                        </pic:spPr>
                      </pic:pic>
                    </a:graphicData>
                  </a:graphic>
                </wp:inline>
              </w:drawing>
            </w:r>
          </w:p>
        </w:tc>
      </w:tr>
      <w:tr w14:paraId="6C9BF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center"/>
          </w:tcPr>
          <w:p w14:paraId="36F9F9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栗家庄乡集中供水水源</w:t>
            </w:r>
          </w:p>
        </w:tc>
      </w:tr>
    </w:tbl>
    <w:p w14:paraId="6CD643D0">
      <w:pPr>
        <w:bidi w:val="0"/>
        <w:rPr>
          <w:rFonts w:hint="eastAsia" w:ascii="Times New Roman" w:hAnsi="Times New Roman" w:cs="Times New Roman"/>
          <w:b/>
          <w:bCs/>
          <w:lang w:val="en-US" w:eastAsia="zh-CN"/>
        </w:rPr>
        <w:sectPr>
          <w:pgSz w:w="11906" w:h="16838"/>
          <w:pgMar w:top="1440" w:right="1800" w:bottom="1440" w:left="180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0F60A87E">
      <w:pPr>
        <w:pStyle w:val="3"/>
        <w:bidi w:val="0"/>
        <w:rPr>
          <w:rFonts w:hint="default"/>
        </w:rPr>
      </w:pPr>
      <w:bookmarkStart w:id="23" w:name="_Toc31209"/>
      <w:bookmarkStart w:id="24" w:name="_Toc16481"/>
      <w:r>
        <w:rPr>
          <w:rFonts w:hint="default"/>
        </w:rPr>
        <w:t>2.2 水源保护区划分结果</w:t>
      </w:r>
      <w:bookmarkEnd w:id="23"/>
      <w:bookmarkEnd w:id="24"/>
      <w:r>
        <w:rPr>
          <w:rFonts w:hint="default"/>
        </w:rPr>
        <w:t xml:space="preserve"> </w:t>
      </w:r>
    </w:p>
    <w:p w14:paraId="57276901">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right="0" w:rightChars="0" w:firstLine="560" w:firstLineChars="200"/>
        <w:jc w:val="both"/>
        <w:textAlignment w:val="auto"/>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根据《吕梁市汾阳市乡镇集中式饮用水水源保护区划分技术报告》，</w:t>
      </w:r>
      <w:r>
        <w:rPr>
          <w:rFonts w:hint="eastAsia" w:cs="Times New Roman"/>
          <w:sz w:val="28"/>
          <w:szCs w:val="28"/>
          <w:lang w:val="en-US" w:eastAsia="zh-CN"/>
        </w:rPr>
        <w:t>汾阳市10处乡镇集中式饮用水水源地</w:t>
      </w:r>
      <w:r>
        <w:rPr>
          <w:rFonts w:hint="eastAsia" w:ascii="Times New Roman" w:hAnsi="Times New Roman" w:eastAsia="仿宋" w:cs="Times New Roman"/>
          <w:sz w:val="28"/>
          <w:szCs w:val="28"/>
          <w:lang w:val="en-US" w:eastAsia="zh-CN"/>
        </w:rPr>
        <w:t>划分了一级保护区，未设置二级保护区和准保护区。</w:t>
      </w:r>
    </w:p>
    <w:p w14:paraId="5B30A91B">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right="0" w:rightChars="0" w:firstLine="560" w:firstLineChars="200"/>
        <w:jc w:val="both"/>
        <w:textAlignment w:val="auto"/>
        <w:rPr>
          <w:rFonts w:hint="default" w:ascii="Times New Roman" w:hAnsi="Times New Roman" w:eastAsia="仿宋" w:cs="Times New Roman"/>
          <w:sz w:val="28"/>
          <w:szCs w:val="28"/>
        </w:rPr>
        <w:sectPr>
          <w:footerReference r:id="rId8" w:type="default"/>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ascii="Times New Roman" w:hAnsi="Times New Roman" w:eastAsia="仿宋" w:cs="Times New Roman"/>
          <w:sz w:val="28"/>
          <w:szCs w:val="28"/>
        </w:rPr>
        <w:t xml:space="preserve"> </w:t>
      </w:r>
    </w:p>
    <w:p w14:paraId="0E3E2A4F">
      <w:pPr>
        <w:pStyle w:val="2"/>
        <w:bidi w:val="0"/>
        <w:rPr>
          <w:rFonts w:hint="default"/>
        </w:rPr>
      </w:pPr>
      <w:bookmarkStart w:id="25" w:name="_Toc1604"/>
      <w:bookmarkStart w:id="26" w:name="_Toc8752"/>
      <w:r>
        <w:rPr>
          <w:rFonts w:hint="default"/>
        </w:rPr>
        <w:t>第三章</w:t>
      </w:r>
      <w:r>
        <w:rPr>
          <w:rFonts w:hint="default"/>
          <w:lang w:val="en-US" w:eastAsia="zh-CN"/>
        </w:rPr>
        <w:t xml:space="preserve"> </w:t>
      </w:r>
      <w:r>
        <w:rPr>
          <w:rFonts w:hint="default"/>
        </w:rPr>
        <w:t>应急组织指挥体系</w:t>
      </w:r>
      <w:bookmarkEnd w:id="25"/>
      <w:bookmarkEnd w:id="26"/>
    </w:p>
    <w:p w14:paraId="64509DDD">
      <w:pPr>
        <w:pStyle w:val="3"/>
        <w:bidi w:val="0"/>
        <w:rPr>
          <w:rFonts w:hint="default"/>
        </w:rPr>
      </w:pPr>
      <w:bookmarkStart w:id="27" w:name="_Toc8001"/>
      <w:bookmarkStart w:id="28" w:name="_Toc7094"/>
      <w:r>
        <w:rPr>
          <w:rFonts w:hint="default"/>
        </w:rPr>
        <w:t>3.1 应急组织指挥体系</w:t>
      </w:r>
      <w:bookmarkEnd w:id="27"/>
      <w:bookmarkEnd w:id="28"/>
      <w:r>
        <w:rPr>
          <w:rFonts w:hint="default"/>
        </w:rPr>
        <w:t xml:space="preserve"> </w:t>
      </w:r>
    </w:p>
    <w:p w14:paraId="1C52AAA0">
      <w:pPr>
        <w:bidi w:val="0"/>
        <w:rPr>
          <w:rFonts w:hint="default"/>
        </w:rPr>
      </w:pPr>
      <w:r>
        <w:rPr>
          <w:rFonts w:hint="eastAsia"/>
          <w:lang w:eastAsia="zh-CN"/>
        </w:rPr>
        <w:t>汾阳市1</w:t>
      </w:r>
      <w:r>
        <w:rPr>
          <w:rFonts w:hint="eastAsia"/>
          <w:lang w:val="en-US" w:eastAsia="zh-CN"/>
        </w:rPr>
        <w:t>0</w:t>
      </w:r>
      <w:r>
        <w:rPr>
          <w:rFonts w:hint="eastAsia"/>
          <w:lang w:eastAsia="zh-CN"/>
        </w:rPr>
        <w:t>处乡镇集中式饮用水水源地</w:t>
      </w:r>
      <w:r>
        <w:rPr>
          <w:rFonts w:hint="default"/>
        </w:rPr>
        <w:t xml:space="preserve">突发环境事件应急组织指挥体系由应急指挥部、现场应急指挥部和现场应急工作组组成。 </w:t>
      </w:r>
    </w:p>
    <w:p w14:paraId="2AF6279F">
      <w:pPr>
        <w:pStyle w:val="3"/>
        <w:bidi w:val="0"/>
        <w:rPr>
          <w:rFonts w:hint="default"/>
        </w:rPr>
      </w:pPr>
      <w:bookmarkStart w:id="29" w:name="_Toc26558"/>
      <w:bookmarkStart w:id="30" w:name="_Toc19746"/>
      <w:r>
        <w:rPr>
          <w:rFonts w:hint="default"/>
        </w:rPr>
        <w:t>3.2 应急组织指挥部</w:t>
      </w:r>
      <w:bookmarkEnd w:id="29"/>
      <w:bookmarkEnd w:id="30"/>
      <w:r>
        <w:rPr>
          <w:rFonts w:hint="default"/>
        </w:rPr>
        <w:t xml:space="preserve"> </w:t>
      </w:r>
    </w:p>
    <w:p w14:paraId="052BC1BA">
      <w:pPr>
        <w:bidi w:val="0"/>
        <w:rPr>
          <w:rFonts w:hint="default"/>
        </w:rPr>
      </w:pPr>
      <w:r>
        <w:rPr>
          <w:rFonts w:hint="eastAsia"/>
          <w:lang w:val="en-US" w:eastAsia="zh-CN"/>
        </w:rPr>
        <w:t>汾阳市人民政府</w:t>
      </w:r>
      <w:r>
        <w:rPr>
          <w:rFonts w:hint="default"/>
        </w:rPr>
        <w:t>成立</w:t>
      </w:r>
      <w:r>
        <w:rPr>
          <w:rFonts w:hint="eastAsia"/>
          <w:lang w:eastAsia="zh-CN"/>
        </w:rPr>
        <w:t>汾阳市1</w:t>
      </w:r>
      <w:r>
        <w:rPr>
          <w:rFonts w:hint="eastAsia"/>
          <w:lang w:val="en-US" w:eastAsia="zh-CN"/>
        </w:rPr>
        <w:t>0</w:t>
      </w:r>
      <w:r>
        <w:rPr>
          <w:rFonts w:hint="eastAsia"/>
          <w:lang w:eastAsia="zh-CN"/>
        </w:rPr>
        <w:t>处乡镇集中式饮用水水源地</w:t>
      </w:r>
      <w:r>
        <w:rPr>
          <w:rFonts w:hint="default"/>
        </w:rPr>
        <w:t>突发环境事件应急指挥部（简称“水源地应急指挥部”），应急指挥部包括总指挥、副总指挥、应急办公室。总指挥由</w:t>
      </w:r>
      <w:r>
        <w:rPr>
          <w:rFonts w:hint="eastAsia"/>
          <w:lang w:val="en-US" w:eastAsia="zh-CN"/>
        </w:rPr>
        <w:t>汾阳市人民政府党组成员</w:t>
      </w:r>
      <w:r>
        <w:rPr>
          <w:rFonts w:hint="default"/>
        </w:rPr>
        <w:t>担任。副总指挥由</w:t>
      </w:r>
      <w:r>
        <w:rPr>
          <w:rFonts w:hint="eastAsia"/>
          <w:lang w:val="en-US" w:eastAsia="zh-CN"/>
        </w:rPr>
        <w:t>各乡镇人民镇府镇长</w:t>
      </w:r>
      <w:r>
        <w:rPr>
          <w:rFonts w:hint="default"/>
        </w:rPr>
        <w:t>担任</w:t>
      </w:r>
      <w:r>
        <w:rPr>
          <w:rFonts w:hint="default"/>
          <w:lang w:eastAsia="zh-CN"/>
        </w:rPr>
        <w:t>。</w:t>
      </w:r>
      <w:r>
        <w:rPr>
          <w:rFonts w:hint="default"/>
        </w:rPr>
        <w:t>应急办公室设在</w:t>
      </w:r>
      <w:r>
        <w:rPr>
          <w:rFonts w:hint="eastAsia"/>
          <w:lang w:val="en-US" w:eastAsia="zh-CN"/>
        </w:rPr>
        <w:t>水源地涉及的各乡镇人民政府</w:t>
      </w:r>
      <w:r>
        <w:rPr>
          <w:rFonts w:hint="default"/>
        </w:rPr>
        <w:t>，办公室主任由</w:t>
      </w:r>
      <w:r>
        <w:rPr>
          <w:rFonts w:hint="eastAsia"/>
          <w:lang w:val="en-US" w:eastAsia="zh-CN"/>
        </w:rPr>
        <w:t>各镇</w:t>
      </w:r>
      <w:r>
        <w:rPr>
          <w:rFonts w:hint="default"/>
        </w:rPr>
        <w:t>长兼任。</w:t>
      </w:r>
    </w:p>
    <w:p w14:paraId="50363E03">
      <w:pPr>
        <w:bidi w:val="0"/>
        <w:rPr>
          <w:rFonts w:hint="default"/>
        </w:rPr>
      </w:pPr>
      <w:r>
        <w:rPr>
          <w:rFonts w:hint="default"/>
        </w:rPr>
        <w:t>成员单位：</w:t>
      </w:r>
      <w:r>
        <w:rPr>
          <w:rFonts w:hint="eastAsia"/>
          <w:lang w:val="en-US" w:eastAsia="zh-CN"/>
        </w:rPr>
        <w:t>汾阳市自然资源局</w:t>
      </w:r>
      <w:r>
        <w:rPr>
          <w:rFonts w:hint="default"/>
          <w:lang w:eastAsia="zh-CN"/>
        </w:rPr>
        <w:t>、</w:t>
      </w:r>
      <w:r>
        <w:rPr>
          <w:rFonts w:hint="eastAsia"/>
          <w:lang w:val="en-US" w:eastAsia="zh-CN"/>
        </w:rPr>
        <w:t>市发改局、市</w:t>
      </w:r>
      <w:r>
        <w:rPr>
          <w:rFonts w:hint="default"/>
        </w:rPr>
        <w:t>商务局</w:t>
      </w:r>
      <w:r>
        <w:rPr>
          <w:rFonts w:hint="default"/>
          <w:lang w:eastAsia="zh-CN"/>
        </w:rPr>
        <w:t>、</w:t>
      </w:r>
      <w:r>
        <w:rPr>
          <w:rFonts w:hint="eastAsia"/>
          <w:lang w:val="en-US" w:eastAsia="zh-CN"/>
        </w:rPr>
        <w:t>市</w:t>
      </w:r>
      <w:r>
        <w:rPr>
          <w:rFonts w:hint="default"/>
        </w:rPr>
        <w:t>城乡建设</w:t>
      </w:r>
      <w:r>
        <w:rPr>
          <w:rFonts w:hint="eastAsia"/>
          <w:lang w:eastAsia="zh-CN"/>
        </w:rPr>
        <w:t>、</w:t>
      </w:r>
      <w:r>
        <w:rPr>
          <w:rFonts w:hint="eastAsia"/>
          <w:lang w:val="en-US" w:eastAsia="zh-CN"/>
        </w:rPr>
        <w:t>市</w:t>
      </w:r>
      <w:r>
        <w:rPr>
          <w:rFonts w:hint="default"/>
        </w:rPr>
        <w:t>交通运输局</w:t>
      </w:r>
      <w:r>
        <w:rPr>
          <w:rFonts w:hint="default"/>
          <w:lang w:eastAsia="zh-CN"/>
        </w:rPr>
        <w:t>、</w:t>
      </w:r>
      <w:r>
        <w:rPr>
          <w:rFonts w:hint="eastAsia"/>
          <w:lang w:val="en-US" w:eastAsia="zh-CN"/>
        </w:rPr>
        <w:t>市</w:t>
      </w:r>
      <w:r>
        <w:rPr>
          <w:rFonts w:hint="default"/>
        </w:rPr>
        <w:t>农业农村</w:t>
      </w:r>
      <w:r>
        <w:rPr>
          <w:rFonts w:hint="eastAsia"/>
          <w:lang w:eastAsia="zh-CN"/>
        </w:rPr>
        <w:t>、</w:t>
      </w:r>
      <w:r>
        <w:rPr>
          <w:rFonts w:hint="eastAsia"/>
          <w:lang w:val="en-US" w:eastAsia="zh-CN"/>
        </w:rPr>
        <w:t>市</w:t>
      </w:r>
      <w:r>
        <w:rPr>
          <w:rFonts w:hint="default"/>
        </w:rPr>
        <w:t>水利局</w:t>
      </w:r>
      <w:r>
        <w:rPr>
          <w:rFonts w:hint="default"/>
          <w:lang w:eastAsia="zh-CN"/>
        </w:rPr>
        <w:t>、</w:t>
      </w:r>
      <w:r>
        <w:rPr>
          <w:rFonts w:hint="eastAsia"/>
          <w:lang w:val="en-US" w:eastAsia="zh-CN"/>
        </w:rPr>
        <w:t>市</w:t>
      </w:r>
      <w:r>
        <w:rPr>
          <w:rFonts w:hint="default"/>
        </w:rPr>
        <w:t>公安局</w:t>
      </w:r>
      <w:r>
        <w:rPr>
          <w:rFonts w:hint="default"/>
          <w:lang w:eastAsia="zh-CN"/>
        </w:rPr>
        <w:t>、</w:t>
      </w:r>
      <w:r>
        <w:rPr>
          <w:rFonts w:hint="eastAsia"/>
          <w:lang w:val="en-US" w:eastAsia="zh-CN"/>
        </w:rPr>
        <w:t>市</w:t>
      </w:r>
      <w:r>
        <w:rPr>
          <w:rFonts w:hint="default"/>
        </w:rPr>
        <w:t>财政局</w:t>
      </w:r>
      <w:r>
        <w:rPr>
          <w:rFonts w:hint="default"/>
          <w:lang w:eastAsia="zh-CN"/>
        </w:rPr>
        <w:t>、</w:t>
      </w:r>
      <w:r>
        <w:rPr>
          <w:rFonts w:hint="eastAsia"/>
          <w:lang w:eastAsia="zh-CN"/>
        </w:rPr>
        <w:t>汾阳市</w:t>
      </w:r>
      <w:r>
        <w:rPr>
          <w:rFonts w:hint="default"/>
        </w:rPr>
        <w:t>卫生健康局</w:t>
      </w:r>
      <w:r>
        <w:rPr>
          <w:rFonts w:hint="default"/>
          <w:lang w:eastAsia="zh-CN"/>
        </w:rPr>
        <w:t>、</w:t>
      </w:r>
      <w:r>
        <w:rPr>
          <w:rFonts w:hint="eastAsia"/>
          <w:lang w:val="en-US" w:eastAsia="zh-CN"/>
        </w:rPr>
        <w:t>汾阳市</w:t>
      </w:r>
      <w:r>
        <w:rPr>
          <w:rFonts w:hint="default"/>
        </w:rPr>
        <w:t>综合行政执法局</w:t>
      </w:r>
      <w:r>
        <w:rPr>
          <w:rFonts w:hint="default"/>
          <w:lang w:eastAsia="zh-CN"/>
        </w:rPr>
        <w:t>、</w:t>
      </w:r>
      <w:r>
        <w:rPr>
          <w:rFonts w:hint="eastAsia"/>
          <w:lang w:val="en-US" w:eastAsia="zh-CN"/>
        </w:rPr>
        <w:t>汾阳市</w:t>
      </w:r>
      <w:r>
        <w:rPr>
          <w:rFonts w:hint="default"/>
        </w:rPr>
        <w:t>气象局</w:t>
      </w:r>
      <w:r>
        <w:rPr>
          <w:rFonts w:hint="default"/>
          <w:lang w:eastAsia="zh-CN"/>
        </w:rPr>
        <w:t>、</w:t>
      </w:r>
      <w:r>
        <w:rPr>
          <w:rFonts w:hint="eastAsia"/>
          <w:lang w:val="en-US" w:eastAsia="zh-CN"/>
        </w:rPr>
        <w:t>汾阳市</w:t>
      </w:r>
      <w:r>
        <w:rPr>
          <w:rFonts w:hint="default"/>
        </w:rPr>
        <w:t>自来水公司</w:t>
      </w:r>
      <w:r>
        <w:rPr>
          <w:rFonts w:hint="default"/>
          <w:lang w:eastAsia="zh-CN"/>
        </w:rPr>
        <w:t>、</w:t>
      </w:r>
      <w:r>
        <w:rPr>
          <w:rFonts w:hint="eastAsia"/>
          <w:lang w:val="en-US" w:eastAsia="zh-CN"/>
        </w:rPr>
        <w:t>吕梁市生态环境局汾阳分局、汾阳市事业服务中心等</w:t>
      </w:r>
      <w:r>
        <w:rPr>
          <w:rFonts w:hint="default"/>
        </w:rPr>
        <w:t>。</w:t>
      </w:r>
    </w:p>
    <w:p w14:paraId="7CD12317">
      <w:pPr>
        <w:bidi w:val="0"/>
        <w:rPr>
          <w:rFonts w:hint="default" w:ascii="Times New Roman" w:hAnsi="Times New Roman" w:eastAsia="仿宋" w:cs="Times New Roman"/>
          <w:szCs w:val="28"/>
          <w:lang w:val="en-US"/>
        </w:rPr>
      </w:pPr>
      <w:r>
        <w:rPr>
          <w:rFonts w:hint="default"/>
          <w:lang w:val="en-US" w:eastAsia="zh-CN"/>
        </w:rPr>
        <w:t>应急指挥机构及成员单位职责</w:t>
      </w:r>
      <w:r>
        <w:rPr>
          <w:rFonts w:hint="eastAsia"/>
          <w:lang w:val="en-US" w:eastAsia="zh-CN"/>
        </w:rPr>
        <w:t>，见表3-1。</w:t>
      </w:r>
    </w:p>
    <w:p w14:paraId="102328B6">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textAlignment w:val="auto"/>
        <w:rPr>
          <w:rFonts w:hint="default" w:ascii="Times New Roman" w:hAnsi="Times New Roman" w:eastAsia="仿宋" w:cs="Times New Roman"/>
          <w:sz w:val="28"/>
          <w:szCs w:val="28"/>
        </w:rPr>
        <w:sectPr>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13BF142E">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default"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 xml:space="preserve">表3-1 </w:t>
      </w:r>
      <w:r>
        <w:rPr>
          <w:rFonts w:hint="default" w:ascii="Times New Roman" w:hAnsi="Times New Roman" w:eastAsia="仿宋" w:cs="Times New Roman"/>
          <w:b/>
          <w:bCs/>
          <w:sz w:val="28"/>
          <w:szCs w:val="28"/>
          <w:lang w:val="en-US" w:eastAsia="zh-CN"/>
        </w:rPr>
        <w:t>应急指挥机构及成员单位职责表应急组织指挥机构表</w:t>
      </w:r>
    </w:p>
    <w:tbl>
      <w:tblPr>
        <w:tblStyle w:val="28"/>
        <w:tblW w:w="511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3"/>
        <w:gridCol w:w="1509"/>
        <w:gridCol w:w="995"/>
        <w:gridCol w:w="1718"/>
        <w:gridCol w:w="1390"/>
        <w:gridCol w:w="3449"/>
        <w:gridCol w:w="4590"/>
      </w:tblGrid>
      <w:tr w14:paraId="1FF57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noWrap w:val="0"/>
            <w:vAlign w:val="center"/>
          </w:tcPr>
          <w:p w14:paraId="493B89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应急组织指挥机构</w:t>
            </w:r>
          </w:p>
        </w:tc>
        <w:tc>
          <w:tcPr>
            <w:tcW w:w="348" w:type="pct"/>
            <w:noWrap w:val="0"/>
            <w:vAlign w:val="center"/>
          </w:tcPr>
          <w:p w14:paraId="5F93D7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负责人</w:t>
            </w:r>
          </w:p>
        </w:tc>
        <w:tc>
          <w:tcPr>
            <w:tcW w:w="600" w:type="pct"/>
            <w:noWrap w:val="0"/>
            <w:vAlign w:val="center"/>
          </w:tcPr>
          <w:p w14:paraId="0B7BE2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联系电话</w:t>
            </w:r>
          </w:p>
        </w:tc>
        <w:tc>
          <w:tcPr>
            <w:tcW w:w="486" w:type="pct"/>
            <w:noWrap w:val="0"/>
            <w:vAlign w:val="center"/>
          </w:tcPr>
          <w:p w14:paraId="288698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职务</w:t>
            </w:r>
          </w:p>
        </w:tc>
        <w:tc>
          <w:tcPr>
            <w:tcW w:w="1206" w:type="pct"/>
            <w:noWrap w:val="0"/>
            <w:vAlign w:val="center"/>
          </w:tcPr>
          <w:p w14:paraId="70D356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日常职责</w:t>
            </w:r>
          </w:p>
        </w:tc>
        <w:tc>
          <w:tcPr>
            <w:tcW w:w="1605" w:type="pct"/>
            <w:noWrap w:val="0"/>
            <w:vAlign w:val="center"/>
          </w:tcPr>
          <w:p w14:paraId="0D22D9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应急职责</w:t>
            </w:r>
          </w:p>
        </w:tc>
      </w:tr>
      <w:tr w14:paraId="73DED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0" w:hRule="atLeast"/>
          <w:jc w:val="center"/>
        </w:trPr>
        <w:tc>
          <w:tcPr>
            <w:tcW w:w="752" w:type="pct"/>
            <w:gridSpan w:val="2"/>
            <w:noWrap w:val="0"/>
            <w:vAlign w:val="center"/>
          </w:tcPr>
          <w:p w14:paraId="6F148F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总指挥</w:t>
            </w:r>
          </w:p>
        </w:tc>
        <w:tc>
          <w:tcPr>
            <w:tcW w:w="348" w:type="pct"/>
            <w:noWrap w:val="0"/>
            <w:vAlign w:val="center"/>
          </w:tcPr>
          <w:p w14:paraId="2D259C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武胜</w:t>
            </w:r>
            <w:r>
              <w:rPr>
                <w:rFonts w:hint="default" w:ascii="Times New Roman" w:hAnsi="Times New Roman" w:eastAsia="仿宋" w:cs="Times New Roman"/>
                <w:sz w:val="24"/>
                <w:szCs w:val="24"/>
              </w:rPr>
              <w:t>强</w:t>
            </w:r>
          </w:p>
        </w:tc>
        <w:tc>
          <w:tcPr>
            <w:tcW w:w="600" w:type="pct"/>
            <w:noWrap w:val="0"/>
            <w:vAlign w:val="center"/>
          </w:tcPr>
          <w:p w14:paraId="1653FF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rPr>
              <w:t>0358-</w:t>
            </w:r>
            <w:r>
              <w:rPr>
                <w:rFonts w:hint="default" w:ascii="Times New Roman" w:hAnsi="Times New Roman" w:eastAsia="仿宋" w:cs="Times New Roman"/>
                <w:sz w:val="24"/>
                <w:szCs w:val="24"/>
                <w:lang w:val="en-US" w:eastAsia="zh-CN"/>
              </w:rPr>
              <w:t>7223620</w:t>
            </w:r>
          </w:p>
        </w:tc>
        <w:tc>
          <w:tcPr>
            <w:tcW w:w="486" w:type="pct"/>
            <w:noWrap w:val="0"/>
            <w:vAlign w:val="center"/>
          </w:tcPr>
          <w:p w14:paraId="0E3620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lang w:val="en-US"/>
              </w:rPr>
            </w:pPr>
            <w:r>
              <w:rPr>
                <w:rFonts w:hint="eastAsia" w:cs="Times New Roman"/>
                <w:sz w:val="24"/>
                <w:szCs w:val="24"/>
                <w:lang w:val="en-US" w:eastAsia="zh-CN"/>
              </w:rPr>
              <w:t>汾阳市人民政府</w:t>
            </w:r>
            <w:r>
              <w:rPr>
                <w:rFonts w:hint="default" w:ascii="Times New Roman" w:hAnsi="Times New Roman" w:eastAsia="仿宋" w:cs="Times New Roman"/>
                <w:sz w:val="24"/>
                <w:szCs w:val="24"/>
                <w:lang w:val="en-US" w:eastAsia="zh-CN"/>
              </w:rPr>
              <w:t>党组成员</w:t>
            </w:r>
          </w:p>
        </w:tc>
        <w:tc>
          <w:tcPr>
            <w:tcW w:w="3449" w:type="dxa"/>
            <w:noWrap w:val="0"/>
            <w:vAlign w:val="center"/>
          </w:tcPr>
          <w:p w14:paraId="7DA60A5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①贯彻执行国家、山西省、吕梁市人民政府及</w:t>
            </w:r>
            <w:r>
              <w:rPr>
                <w:rFonts w:hint="eastAsia" w:cs="Times New Roman"/>
                <w:sz w:val="24"/>
                <w:szCs w:val="24"/>
                <w:lang w:val="en-US" w:eastAsia="zh-CN"/>
              </w:rPr>
              <w:t>相关</w:t>
            </w:r>
            <w:r>
              <w:rPr>
                <w:rFonts w:hint="default" w:ascii="Times New Roman" w:hAnsi="Times New Roman" w:eastAsia="仿宋" w:cs="Times New Roman"/>
                <w:sz w:val="24"/>
                <w:szCs w:val="24"/>
              </w:rPr>
              <w:t>部门关于水源地突发环境事件的各项</w:t>
            </w:r>
            <w:r>
              <w:rPr>
                <w:rFonts w:hint="eastAsia" w:cs="Times New Roman"/>
                <w:sz w:val="24"/>
                <w:szCs w:val="24"/>
                <w:lang w:val="en-US" w:eastAsia="zh-CN"/>
              </w:rPr>
              <w:t>工作</w:t>
            </w:r>
            <w:r>
              <w:rPr>
                <w:rFonts w:hint="default" w:ascii="Times New Roman" w:hAnsi="Times New Roman" w:eastAsia="仿宋" w:cs="Times New Roman"/>
                <w:sz w:val="24"/>
                <w:szCs w:val="24"/>
              </w:rPr>
              <w:t>要求；</w:t>
            </w:r>
          </w:p>
          <w:p w14:paraId="45BC367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②</w:t>
            </w:r>
            <w:r>
              <w:rPr>
                <w:rFonts w:hint="eastAsia" w:cs="Times New Roman"/>
                <w:sz w:val="24"/>
                <w:szCs w:val="24"/>
                <w:lang w:val="en-US" w:eastAsia="zh-CN"/>
              </w:rPr>
              <w:t>牵头</w:t>
            </w:r>
            <w:r>
              <w:rPr>
                <w:rFonts w:hint="default" w:ascii="Times New Roman" w:hAnsi="Times New Roman" w:eastAsia="仿宋" w:cs="Times New Roman"/>
                <w:sz w:val="24"/>
                <w:szCs w:val="24"/>
              </w:rPr>
              <w:t>组织</w:t>
            </w:r>
            <w:r>
              <w:rPr>
                <w:rFonts w:hint="eastAsia" w:cs="Times New Roman"/>
                <w:sz w:val="24"/>
                <w:szCs w:val="24"/>
                <w:lang w:val="en-US" w:eastAsia="zh-CN"/>
              </w:rPr>
              <w:t>水源地应急预案的编制、修订与审批工作</w:t>
            </w:r>
            <w:r>
              <w:rPr>
                <w:rFonts w:hint="default" w:ascii="Times New Roman" w:hAnsi="Times New Roman" w:eastAsia="仿宋" w:cs="Times New Roman"/>
                <w:sz w:val="24"/>
                <w:szCs w:val="24"/>
              </w:rPr>
              <w:t>；</w:t>
            </w:r>
          </w:p>
          <w:p w14:paraId="52D9C9B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③指导</w:t>
            </w:r>
            <w:r>
              <w:rPr>
                <w:rFonts w:hint="eastAsia" w:cs="Times New Roman"/>
                <w:sz w:val="24"/>
                <w:szCs w:val="24"/>
                <w:lang w:val="en-US" w:eastAsia="zh-CN"/>
              </w:rPr>
              <w:t>推进</w:t>
            </w:r>
            <w:r>
              <w:rPr>
                <w:rFonts w:hint="default" w:ascii="Times New Roman" w:hAnsi="Times New Roman" w:eastAsia="仿宋" w:cs="Times New Roman"/>
                <w:sz w:val="24"/>
                <w:szCs w:val="24"/>
              </w:rPr>
              <w:t>水源地突发环境事件应急管理体系建设</w:t>
            </w:r>
            <w:r>
              <w:rPr>
                <w:rFonts w:hint="eastAsia" w:cs="Times New Roman"/>
                <w:sz w:val="24"/>
                <w:szCs w:val="24"/>
                <w:lang w:val="en-US" w:eastAsia="zh-CN"/>
              </w:rPr>
              <w:t>工作</w:t>
            </w:r>
            <w:r>
              <w:rPr>
                <w:rFonts w:hint="default" w:ascii="Times New Roman" w:hAnsi="Times New Roman" w:eastAsia="仿宋" w:cs="Times New Roman"/>
                <w:sz w:val="24"/>
                <w:szCs w:val="24"/>
              </w:rPr>
              <w:t>；</w:t>
            </w:r>
          </w:p>
          <w:p w14:paraId="2C1F52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④协调保障水源地突发环境事件应急管理工作</w:t>
            </w:r>
            <w:r>
              <w:rPr>
                <w:rFonts w:hint="eastAsia" w:cs="Times New Roman"/>
                <w:sz w:val="24"/>
                <w:szCs w:val="24"/>
                <w:lang w:val="en-US" w:eastAsia="zh-CN"/>
              </w:rPr>
              <w:t>的</w:t>
            </w:r>
            <w:r>
              <w:rPr>
                <w:rFonts w:hint="default" w:ascii="Times New Roman" w:hAnsi="Times New Roman" w:eastAsia="仿宋" w:cs="Times New Roman"/>
                <w:sz w:val="24"/>
                <w:szCs w:val="24"/>
              </w:rPr>
              <w:t>经费</w:t>
            </w:r>
          </w:p>
        </w:tc>
        <w:tc>
          <w:tcPr>
            <w:tcW w:w="4590" w:type="dxa"/>
            <w:noWrap w:val="0"/>
            <w:vAlign w:val="center"/>
          </w:tcPr>
          <w:p w14:paraId="55E0302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①</w:t>
            </w:r>
            <w:r>
              <w:rPr>
                <w:rFonts w:hint="eastAsia" w:cs="Times New Roman"/>
                <w:sz w:val="24"/>
                <w:szCs w:val="24"/>
                <w:lang w:val="en-US" w:eastAsia="zh-CN"/>
              </w:rPr>
              <w:t>当</w:t>
            </w:r>
            <w:r>
              <w:rPr>
                <w:rFonts w:hint="default" w:ascii="Times New Roman" w:hAnsi="Times New Roman" w:eastAsia="仿宋" w:cs="Times New Roman"/>
                <w:sz w:val="24"/>
                <w:szCs w:val="24"/>
              </w:rPr>
              <w:t>发生水源地突发环境事件时，</w:t>
            </w:r>
            <w:r>
              <w:rPr>
                <w:rFonts w:hint="eastAsia" w:cs="Times New Roman"/>
                <w:sz w:val="24"/>
                <w:szCs w:val="24"/>
                <w:lang w:val="en-US" w:eastAsia="zh-CN"/>
              </w:rPr>
              <w:t>总指挥</w:t>
            </w:r>
            <w:r>
              <w:rPr>
                <w:rFonts w:hint="default" w:ascii="Times New Roman" w:hAnsi="Times New Roman" w:eastAsia="仿宋" w:cs="Times New Roman"/>
                <w:sz w:val="24"/>
                <w:szCs w:val="24"/>
              </w:rPr>
              <w:t>亲自（或委托副总指挥）赶赴现场</w:t>
            </w:r>
            <w:r>
              <w:rPr>
                <w:rFonts w:hint="eastAsia" w:cs="Times New Roman"/>
                <w:sz w:val="24"/>
                <w:szCs w:val="24"/>
                <w:lang w:val="en-US" w:eastAsia="zh-CN"/>
              </w:rPr>
              <w:t>统筹</w:t>
            </w:r>
            <w:r>
              <w:rPr>
                <w:rFonts w:hint="default" w:ascii="Times New Roman" w:hAnsi="Times New Roman" w:eastAsia="仿宋" w:cs="Times New Roman"/>
                <w:sz w:val="24"/>
                <w:szCs w:val="24"/>
              </w:rPr>
              <w:t>指挥</w:t>
            </w:r>
            <w:r>
              <w:rPr>
                <w:rFonts w:hint="eastAsia" w:cs="Times New Roman"/>
                <w:sz w:val="24"/>
                <w:szCs w:val="24"/>
                <w:lang w:val="en-US" w:eastAsia="zh-CN"/>
              </w:rPr>
              <w:t>并</w:t>
            </w:r>
            <w:r>
              <w:rPr>
                <w:rFonts w:hint="default" w:ascii="Times New Roman" w:hAnsi="Times New Roman" w:eastAsia="仿宋" w:cs="Times New Roman"/>
                <w:sz w:val="24"/>
                <w:szCs w:val="24"/>
              </w:rPr>
              <w:t>组织开展应急处置</w:t>
            </w:r>
            <w:r>
              <w:rPr>
                <w:rFonts w:hint="eastAsia" w:cs="Times New Roman"/>
                <w:sz w:val="24"/>
                <w:szCs w:val="24"/>
                <w:lang w:val="en-US" w:eastAsia="zh-CN"/>
              </w:rPr>
              <w:t>工作</w:t>
            </w:r>
            <w:r>
              <w:rPr>
                <w:rFonts w:hint="default" w:ascii="Times New Roman" w:hAnsi="Times New Roman" w:eastAsia="仿宋" w:cs="Times New Roman"/>
                <w:sz w:val="24"/>
                <w:szCs w:val="24"/>
              </w:rPr>
              <w:t>；</w:t>
            </w:r>
          </w:p>
          <w:p w14:paraId="54D6B59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②贯彻执行山西省、吕梁市人民政府及</w:t>
            </w:r>
            <w:r>
              <w:rPr>
                <w:rFonts w:hint="eastAsia" w:cs="Times New Roman"/>
                <w:sz w:val="24"/>
                <w:szCs w:val="24"/>
                <w:lang w:val="en-US" w:eastAsia="zh-CN"/>
              </w:rPr>
              <w:t>相关</w:t>
            </w:r>
            <w:r>
              <w:rPr>
                <w:rFonts w:hint="default" w:ascii="Times New Roman" w:hAnsi="Times New Roman" w:eastAsia="仿宋" w:cs="Times New Roman"/>
                <w:sz w:val="24"/>
                <w:szCs w:val="24"/>
              </w:rPr>
              <w:t>部门的应急指令；</w:t>
            </w:r>
          </w:p>
          <w:p w14:paraId="2B2FF74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③</w:t>
            </w:r>
            <w:r>
              <w:rPr>
                <w:rFonts w:hint="eastAsia" w:cs="Times New Roman"/>
                <w:sz w:val="24"/>
                <w:szCs w:val="24"/>
                <w:lang w:val="en-US" w:eastAsia="zh-CN"/>
              </w:rPr>
              <w:t>依据</w:t>
            </w:r>
            <w:r>
              <w:rPr>
                <w:rFonts w:hint="default" w:ascii="Times New Roman" w:hAnsi="Times New Roman" w:eastAsia="仿宋" w:cs="Times New Roman"/>
                <w:sz w:val="24"/>
                <w:szCs w:val="24"/>
              </w:rPr>
              <w:t>预警</w:t>
            </w:r>
            <w:r>
              <w:rPr>
                <w:rFonts w:hint="eastAsia" w:cs="Times New Roman"/>
                <w:sz w:val="24"/>
                <w:szCs w:val="24"/>
                <w:lang w:val="en-US" w:eastAsia="zh-CN"/>
              </w:rPr>
              <w:t>及</w:t>
            </w:r>
            <w:r>
              <w:rPr>
                <w:rFonts w:hint="default" w:ascii="Times New Roman" w:hAnsi="Times New Roman" w:eastAsia="仿宋" w:cs="Times New Roman"/>
                <w:sz w:val="24"/>
                <w:szCs w:val="24"/>
              </w:rPr>
              <w:t>应急启动</w:t>
            </w:r>
            <w:r>
              <w:rPr>
                <w:rFonts w:hint="eastAsia" w:cs="Times New Roman"/>
                <w:sz w:val="24"/>
                <w:szCs w:val="24"/>
                <w:lang w:eastAsia="zh-CN"/>
              </w:rPr>
              <w:t>、</w:t>
            </w:r>
            <w:r>
              <w:rPr>
                <w:rFonts w:hint="default" w:ascii="Times New Roman" w:hAnsi="Times New Roman" w:eastAsia="仿宋" w:cs="Times New Roman"/>
                <w:sz w:val="24"/>
                <w:szCs w:val="24"/>
              </w:rPr>
              <w:t>终止</w:t>
            </w:r>
            <w:r>
              <w:rPr>
                <w:rFonts w:hint="eastAsia" w:cs="Times New Roman"/>
                <w:sz w:val="24"/>
                <w:szCs w:val="24"/>
                <w:lang w:val="en-US" w:eastAsia="zh-CN"/>
              </w:rPr>
              <w:t>的判定</w:t>
            </w:r>
            <w:r>
              <w:rPr>
                <w:rFonts w:hint="default" w:ascii="Times New Roman" w:hAnsi="Times New Roman" w:eastAsia="仿宋" w:cs="Times New Roman"/>
                <w:sz w:val="24"/>
                <w:szCs w:val="24"/>
              </w:rPr>
              <w:t>条件，决定预案的启动或终止；</w:t>
            </w:r>
          </w:p>
          <w:p w14:paraId="6BE741E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④研判突发环境事件发展</w:t>
            </w:r>
            <w:r>
              <w:rPr>
                <w:rFonts w:hint="eastAsia" w:cs="Times New Roman"/>
                <w:sz w:val="24"/>
                <w:szCs w:val="24"/>
                <w:lang w:val="en-US" w:eastAsia="zh-CN"/>
              </w:rPr>
              <w:t>的</w:t>
            </w:r>
            <w:r>
              <w:rPr>
                <w:rFonts w:hint="default" w:ascii="Times New Roman" w:hAnsi="Times New Roman" w:eastAsia="仿宋" w:cs="Times New Roman"/>
                <w:sz w:val="24"/>
                <w:szCs w:val="24"/>
              </w:rPr>
              <w:t>态势，</w:t>
            </w:r>
            <w:r>
              <w:rPr>
                <w:rFonts w:hint="eastAsia" w:cs="Times New Roman"/>
                <w:sz w:val="24"/>
                <w:szCs w:val="24"/>
                <w:lang w:val="en-US" w:eastAsia="zh-CN"/>
              </w:rPr>
              <w:t>牵头</w:t>
            </w:r>
            <w:r>
              <w:rPr>
                <w:rFonts w:hint="default" w:ascii="Times New Roman" w:hAnsi="Times New Roman" w:eastAsia="仿宋" w:cs="Times New Roman"/>
                <w:sz w:val="24"/>
                <w:szCs w:val="24"/>
              </w:rPr>
              <w:t>制定并</w:t>
            </w:r>
            <w:r>
              <w:rPr>
                <w:rFonts w:hint="eastAsia" w:cs="Times New Roman"/>
                <w:sz w:val="24"/>
                <w:szCs w:val="24"/>
                <w:lang w:val="en-US" w:eastAsia="zh-CN"/>
              </w:rPr>
              <w:t>审批</w:t>
            </w:r>
            <w:r>
              <w:rPr>
                <w:rFonts w:hint="default" w:ascii="Times New Roman" w:hAnsi="Times New Roman" w:eastAsia="仿宋" w:cs="Times New Roman"/>
                <w:sz w:val="24"/>
                <w:szCs w:val="24"/>
              </w:rPr>
              <w:t>现场处置方案；</w:t>
            </w:r>
          </w:p>
          <w:p w14:paraId="7546E4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⑤组织开展损害评估等后期工作</w:t>
            </w:r>
          </w:p>
        </w:tc>
      </w:tr>
      <w:tr w14:paraId="681F4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jc w:val="center"/>
        </w:trPr>
        <w:tc>
          <w:tcPr>
            <w:tcW w:w="752" w:type="pct"/>
            <w:gridSpan w:val="2"/>
            <w:vMerge w:val="restart"/>
            <w:noWrap w:val="0"/>
            <w:vAlign w:val="center"/>
          </w:tcPr>
          <w:p w14:paraId="091F5C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副总指挥</w:t>
            </w:r>
          </w:p>
        </w:tc>
        <w:tc>
          <w:tcPr>
            <w:tcW w:w="348" w:type="pct"/>
            <w:noWrap w:val="0"/>
            <w:vAlign w:val="center"/>
          </w:tcPr>
          <w:p w14:paraId="4CF8EB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刘静</w:t>
            </w:r>
          </w:p>
        </w:tc>
        <w:tc>
          <w:tcPr>
            <w:tcW w:w="600" w:type="pct"/>
            <w:noWrap w:val="0"/>
            <w:vAlign w:val="center"/>
          </w:tcPr>
          <w:p w14:paraId="5DF020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0358-7380074</w:t>
            </w:r>
          </w:p>
        </w:tc>
        <w:tc>
          <w:tcPr>
            <w:tcW w:w="486" w:type="pct"/>
            <w:noWrap w:val="0"/>
            <w:vAlign w:val="center"/>
          </w:tcPr>
          <w:p w14:paraId="2AD1E6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贾家庄镇人民政府</w:t>
            </w:r>
            <w:r>
              <w:rPr>
                <w:rFonts w:hint="eastAsia" w:cs="Times New Roman"/>
                <w:sz w:val="24"/>
                <w:szCs w:val="24"/>
                <w:lang w:val="en-US" w:eastAsia="zh-CN"/>
              </w:rPr>
              <w:t>镇长</w:t>
            </w:r>
          </w:p>
        </w:tc>
        <w:tc>
          <w:tcPr>
            <w:tcW w:w="3449" w:type="dxa"/>
            <w:vMerge w:val="restart"/>
            <w:noWrap w:val="0"/>
            <w:vAlign w:val="center"/>
          </w:tcPr>
          <w:p w14:paraId="597328C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①协助总指挥</w:t>
            </w:r>
            <w:r>
              <w:rPr>
                <w:rFonts w:hint="eastAsia" w:cs="Times New Roman"/>
                <w:sz w:val="24"/>
                <w:szCs w:val="24"/>
                <w:lang w:val="en-US" w:eastAsia="zh-CN"/>
              </w:rPr>
              <w:t>推进各项相关</w:t>
            </w:r>
            <w:r>
              <w:rPr>
                <w:rFonts w:hint="default" w:ascii="Times New Roman" w:hAnsi="Times New Roman" w:eastAsia="仿宋" w:cs="Times New Roman"/>
                <w:sz w:val="24"/>
                <w:szCs w:val="24"/>
              </w:rPr>
              <w:t>工作；</w:t>
            </w:r>
          </w:p>
          <w:p w14:paraId="13BF559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②</w:t>
            </w:r>
            <w:r>
              <w:rPr>
                <w:rFonts w:hint="eastAsia" w:cs="Times New Roman"/>
                <w:sz w:val="24"/>
                <w:szCs w:val="24"/>
                <w:lang w:val="en-US" w:eastAsia="zh-CN"/>
              </w:rPr>
              <w:t>牵头</w:t>
            </w:r>
            <w:r>
              <w:rPr>
                <w:rFonts w:hint="default" w:ascii="Times New Roman" w:hAnsi="Times New Roman" w:eastAsia="仿宋" w:cs="Times New Roman"/>
                <w:sz w:val="24"/>
                <w:szCs w:val="24"/>
              </w:rPr>
              <w:t>组织</w:t>
            </w:r>
            <w:r>
              <w:rPr>
                <w:rFonts w:hint="eastAsia" w:cs="Times New Roman"/>
                <w:sz w:val="24"/>
                <w:szCs w:val="24"/>
                <w:lang w:val="en-US" w:eastAsia="zh-CN"/>
              </w:rPr>
              <w:t>并</w:t>
            </w:r>
            <w:r>
              <w:rPr>
                <w:rFonts w:hint="default" w:ascii="Times New Roman" w:hAnsi="Times New Roman" w:eastAsia="仿宋" w:cs="Times New Roman"/>
                <w:sz w:val="24"/>
                <w:szCs w:val="24"/>
              </w:rPr>
              <w:t>指导</w:t>
            </w:r>
            <w:r>
              <w:rPr>
                <w:rFonts w:hint="eastAsia" w:cs="Times New Roman"/>
                <w:sz w:val="24"/>
                <w:szCs w:val="24"/>
                <w:lang w:val="en-US" w:eastAsia="zh-CN"/>
              </w:rPr>
              <w:t>应急</w:t>
            </w:r>
            <w:r>
              <w:rPr>
                <w:rFonts w:hint="default" w:ascii="Times New Roman" w:hAnsi="Times New Roman" w:eastAsia="仿宋" w:cs="Times New Roman"/>
                <w:sz w:val="24"/>
                <w:szCs w:val="24"/>
              </w:rPr>
              <w:t>预案培训</w:t>
            </w:r>
            <w:r>
              <w:rPr>
                <w:rFonts w:hint="eastAsia" w:cs="Times New Roman"/>
                <w:sz w:val="24"/>
                <w:szCs w:val="24"/>
                <w:lang w:eastAsia="zh-CN"/>
              </w:rPr>
              <w:t>、</w:t>
            </w:r>
            <w:r>
              <w:rPr>
                <w:rFonts w:hint="default" w:ascii="Times New Roman" w:hAnsi="Times New Roman" w:eastAsia="仿宋" w:cs="Times New Roman"/>
                <w:sz w:val="24"/>
                <w:szCs w:val="24"/>
              </w:rPr>
              <w:t>演练</w:t>
            </w:r>
            <w:r>
              <w:rPr>
                <w:rFonts w:hint="eastAsia" w:cs="Times New Roman"/>
                <w:sz w:val="24"/>
                <w:szCs w:val="24"/>
                <w:lang w:val="en-US" w:eastAsia="zh-CN"/>
              </w:rPr>
              <w:t>及</w:t>
            </w:r>
            <w:r>
              <w:rPr>
                <w:rFonts w:hint="default" w:ascii="Times New Roman" w:hAnsi="Times New Roman" w:eastAsia="仿宋" w:cs="Times New Roman"/>
                <w:sz w:val="24"/>
                <w:szCs w:val="24"/>
              </w:rPr>
              <w:t>应急救援队伍建设</w:t>
            </w:r>
            <w:r>
              <w:rPr>
                <w:rFonts w:hint="eastAsia" w:cs="Times New Roman"/>
                <w:sz w:val="24"/>
                <w:szCs w:val="24"/>
                <w:lang w:val="en-US" w:eastAsia="zh-CN"/>
              </w:rPr>
              <w:t>与</w:t>
            </w:r>
            <w:r>
              <w:rPr>
                <w:rFonts w:hint="default" w:ascii="Times New Roman" w:hAnsi="Times New Roman" w:eastAsia="仿宋" w:cs="Times New Roman"/>
                <w:sz w:val="24"/>
                <w:szCs w:val="24"/>
              </w:rPr>
              <w:t>能力评估等工作；</w:t>
            </w:r>
          </w:p>
          <w:p w14:paraId="1C1322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③指导开展水源地突发环境事件</w:t>
            </w:r>
            <w:r>
              <w:rPr>
                <w:rFonts w:hint="eastAsia" w:cs="Times New Roman"/>
                <w:sz w:val="24"/>
                <w:szCs w:val="24"/>
                <w:lang w:val="en-US" w:eastAsia="zh-CN"/>
              </w:rPr>
              <w:t>的</w:t>
            </w:r>
            <w:r>
              <w:rPr>
                <w:rFonts w:hint="default" w:ascii="Times New Roman" w:hAnsi="Times New Roman" w:eastAsia="仿宋" w:cs="Times New Roman"/>
                <w:sz w:val="24"/>
                <w:szCs w:val="24"/>
              </w:rPr>
              <w:t>风险防范</w:t>
            </w:r>
            <w:r>
              <w:rPr>
                <w:rFonts w:hint="eastAsia" w:cs="Times New Roman"/>
                <w:sz w:val="24"/>
                <w:szCs w:val="24"/>
                <w:lang w:val="en-US" w:eastAsia="zh-CN"/>
              </w:rPr>
              <w:t>与</w:t>
            </w:r>
            <w:r>
              <w:rPr>
                <w:rFonts w:hint="default" w:ascii="Times New Roman" w:hAnsi="Times New Roman" w:eastAsia="仿宋" w:cs="Times New Roman"/>
                <w:sz w:val="24"/>
                <w:szCs w:val="24"/>
              </w:rPr>
              <w:t>应急准备工作</w:t>
            </w:r>
          </w:p>
        </w:tc>
        <w:tc>
          <w:tcPr>
            <w:tcW w:w="4590" w:type="dxa"/>
            <w:vMerge w:val="restart"/>
            <w:noWrap w:val="0"/>
            <w:vAlign w:val="center"/>
          </w:tcPr>
          <w:p w14:paraId="4DB80ED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①协助总指挥</w:t>
            </w:r>
            <w:r>
              <w:rPr>
                <w:rFonts w:hint="eastAsia" w:cs="Times New Roman"/>
                <w:sz w:val="24"/>
                <w:szCs w:val="24"/>
                <w:lang w:val="en-US" w:eastAsia="zh-CN"/>
              </w:rPr>
              <w:t>统筹</w:t>
            </w:r>
            <w:r>
              <w:rPr>
                <w:rFonts w:hint="default" w:ascii="Times New Roman" w:hAnsi="Times New Roman" w:eastAsia="仿宋" w:cs="Times New Roman"/>
                <w:sz w:val="24"/>
                <w:szCs w:val="24"/>
              </w:rPr>
              <w:t>组织现场应急处置</w:t>
            </w:r>
            <w:r>
              <w:rPr>
                <w:rFonts w:hint="eastAsia" w:cs="Times New Roman"/>
                <w:sz w:val="24"/>
                <w:szCs w:val="24"/>
                <w:lang w:val="en-US" w:eastAsia="zh-CN"/>
              </w:rPr>
              <w:t>工作</w:t>
            </w:r>
            <w:r>
              <w:rPr>
                <w:rFonts w:hint="default" w:ascii="Times New Roman" w:hAnsi="Times New Roman" w:eastAsia="仿宋" w:cs="Times New Roman"/>
                <w:sz w:val="24"/>
                <w:szCs w:val="24"/>
              </w:rPr>
              <w:t>；</w:t>
            </w:r>
          </w:p>
          <w:p w14:paraId="63E43CA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②根据分工或总指挥</w:t>
            </w:r>
            <w:r>
              <w:rPr>
                <w:rFonts w:hint="eastAsia" w:cs="Times New Roman"/>
                <w:sz w:val="24"/>
                <w:szCs w:val="24"/>
                <w:lang w:val="en-US" w:eastAsia="zh-CN"/>
              </w:rPr>
              <w:t>的</w:t>
            </w:r>
            <w:r>
              <w:rPr>
                <w:rFonts w:hint="default" w:ascii="Times New Roman" w:hAnsi="Times New Roman" w:eastAsia="仿宋" w:cs="Times New Roman"/>
                <w:sz w:val="24"/>
                <w:szCs w:val="24"/>
              </w:rPr>
              <w:t>安排，负责现场具体</w:t>
            </w:r>
            <w:r>
              <w:rPr>
                <w:rFonts w:hint="eastAsia" w:cs="Times New Roman"/>
                <w:sz w:val="24"/>
                <w:szCs w:val="24"/>
                <w:lang w:val="en-US" w:eastAsia="zh-CN"/>
              </w:rPr>
              <w:t>的</w:t>
            </w:r>
            <w:r>
              <w:rPr>
                <w:rFonts w:hint="default" w:ascii="Times New Roman" w:hAnsi="Times New Roman" w:eastAsia="仿宋" w:cs="Times New Roman"/>
                <w:sz w:val="24"/>
                <w:szCs w:val="24"/>
              </w:rPr>
              <w:t>指挥</w:t>
            </w:r>
            <w:r>
              <w:rPr>
                <w:rFonts w:hint="eastAsia" w:cs="Times New Roman"/>
                <w:sz w:val="24"/>
                <w:szCs w:val="24"/>
                <w:lang w:val="en-US" w:eastAsia="zh-CN"/>
              </w:rPr>
              <w:t>与</w:t>
            </w:r>
            <w:r>
              <w:rPr>
                <w:rFonts w:hint="default" w:ascii="Times New Roman" w:hAnsi="Times New Roman" w:eastAsia="仿宋" w:cs="Times New Roman"/>
                <w:sz w:val="24"/>
                <w:szCs w:val="24"/>
              </w:rPr>
              <w:t>协调；</w:t>
            </w:r>
          </w:p>
          <w:p w14:paraId="6115286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③提出应急处置</w:t>
            </w:r>
            <w:r>
              <w:rPr>
                <w:rFonts w:hint="eastAsia" w:cs="Times New Roman"/>
                <w:sz w:val="24"/>
                <w:szCs w:val="24"/>
                <w:lang w:val="en-US" w:eastAsia="zh-CN"/>
              </w:rPr>
              <w:t>相关</w:t>
            </w:r>
            <w:r>
              <w:rPr>
                <w:rFonts w:hint="default" w:ascii="Times New Roman" w:hAnsi="Times New Roman" w:eastAsia="仿宋" w:cs="Times New Roman"/>
                <w:sz w:val="24"/>
                <w:szCs w:val="24"/>
              </w:rPr>
              <w:t>建议；</w:t>
            </w:r>
          </w:p>
          <w:p w14:paraId="0A5D678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④负责向场外人员通报应急</w:t>
            </w:r>
            <w:r>
              <w:rPr>
                <w:rFonts w:hint="eastAsia" w:cs="Times New Roman"/>
                <w:sz w:val="24"/>
                <w:szCs w:val="24"/>
                <w:lang w:val="en-US" w:eastAsia="zh-CN"/>
              </w:rPr>
              <w:t>相关</w:t>
            </w:r>
            <w:r>
              <w:rPr>
                <w:rFonts w:hint="default" w:ascii="Times New Roman" w:hAnsi="Times New Roman" w:eastAsia="仿宋" w:cs="Times New Roman"/>
                <w:sz w:val="24"/>
                <w:szCs w:val="24"/>
              </w:rPr>
              <w:t>信息；</w:t>
            </w:r>
          </w:p>
          <w:p w14:paraId="7E7E585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⑤负责</w:t>
            </w:r>
            <w:r>
              <w:rPr>
                <w:rFonts w:hint="eastAsia" w:cs="Times New Roman"/>
                <w:sz w:val="24"/>
                <w:szCs w:val="24"/>
                <w:lang w:val="en-US" w:eastAsia="zh-CN"/>
              </w:rPr>
              <w:t>统筹</w:t>
            </w:r>
            <w:r>
              <w:rPr>
                <w:rFonts w:hint="default" w:ascii="Times New Roman" w:hAnsi="Times New Roman" w:eastAsia="仿宋" w:cs="Times New Roman"/>
                <w:sz w:val="24"/>
                <w:szCs w:val="24"/>
              </w:rPr>
              <w:t>协调现场与场外</w:t>
            </w:r>
            <w:r>
              <w:rPr>
                <w:rFonts w:hint="eastAsia" w:cs="Times New Roman"/>
                <w:sz w:val="24"/>
                <w:szCs w:val="24"/>
                <w:lang w:val="en-US" w:eastAsia="zh-CN"/>
              </w:rPr>
              <w:t>的</w:t>
            </w:r>
            <w:r>
              <w:rPr>
                <w:rFonts w:hint="default" w:ascii="Times New Roman" w:hAnsi="Times New Roman" w:eastAsia="仿宋" w:cs="Times New Roman"/>
                <w:sz w:val="24"/>
                <w:szCs w:val="24"/>
              </w:rPr>
              <w:t>应急处置工作；</w:t>
            </w:r>
          </w:p>
          <w:p w14:paraId="4D65800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⑥</w:t>
            </w:r>
            <w:r>
              <w:rPr>
                <w:rFonts w:hint="eastAsia" w:cs="Times New Roman"/>
                <w:sz w:val="24"/>
                <w:szCs w:val="24"/>
                <w:lang w:val="en-US" w:eastAsia="zh-CN"/>
              </w:rPr>
              <w:t>当</w:t>
            </w:r>
            <w:r>
              <w:rPr>
                <w:rFonts w:hint="default" w:ascii="Times New Roman" w:hAnsi="Times New Roman" w:eastAsia="仿宋" w:cs="Times New Roman"/>
                <w:sz w:val="24"/>
                <w:szCs w:val="24"/>
              </w:rPr>
              <w:t>取水停止后，</w:t>
            </w:r>
            <w:r>
              <w:rPr>
                <w:rFonts w:hint="eastAsia" w:cs="Times New Roman"/>
                <w:sz w:val="24"/>
                <w:szCs w:val="24"/>
                <w:lang w:val="en-US" w:eastAsia="zh-CN"/>
              </w:rPr>
              <w:t>牵头</w:t>
            </w:r>
            <w:r>
              <w:rPr>
                <w:rFonts w:hint="default" w:ascii="Times New Roman" w:hAnsi="Times New Roman" w:eastAsia="仿宋" w:cs="Times New Roman"/>
                <w:sz w:val="24"/>
                <w:szCs w:val="24"/>
              </w:rPr>
              <w:t>协调保障居民</w:t>
            </w:r>
            <w:r>
              <w:rPr>
                <w:rFonts w:hint="eastAsia" w:cs="Times New Roman"/>
                <w:sz w:val="24"/>
                <w:szCs w:val="24"/>
                <w:lang w:val="en-US" w:eastAsia="zh-CN"/>
              </w:rPr>
              <w:t>的</w:t>
            </w:r>
            <w:r>
              <w:rPr>
                <w:rFonts w:hint="default" w:ascii="Times New Roman" w:hAnsi="Times New Roman" w:eastAsia="仿宋" w:cs="Times New Roman"/>
                <w:sz w:val="24"/>
                <w:szCs w:val="24"/>
              </w:rPr>
              <w:t>用水；</w:t>
            </w:r>
          </w:p>
          <w:p w14:paraId="7BD91DE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cs="Times New Roman"/>
                <w:sz w:val="24"/>
                <w:szCs w:val="24"/>
                <w:lang w:eastAsia="zh-CN"/>
              </w:rPr>
            </w:pPr>
            <w:r>
              <w:rPr>
                <w:rFonts w:hint="default" w:ascii="Times New Roman" w:hAnsi="Times New Roman" w:eastAsia="仿宋" w:cs="Times New Roman"/>
                <w:sz w:val="24"/>
                <w:szCs w:val="24"/>
              </w:rPr>
              <w:t>⑦</w:t>
            </w:r>
            <w:r>
              <w:rPr>
                <w:rFonts w:hint="eastAsia" w:cs="Times New Roman"/>
                <w:sz w:val="24"/>
                <w:szCs w:val="24"/>
                <w:lang w:val="en-US" w:eastAsia="zh-CN"/>
              </w:rPr>
              <w:t>及时</w:t>
            </w:r>
            <w:r>
              <w:rPr>
                <w:rFonts w:hint="default" w:ascii="Times New Roman" w:hAnsi="Times New Roman" w:eastAsia="仿宋" w:cs="Times New Roman"/>
                <w:sz w:val="24"/>
                <w:szCs w:val="24"/>
              </w:rPr>
              <w:t>处置现场</w:t>
            </w:r>
            <w:r>
              <w:rPr>
                <w:rFonts w:hint="eastAsia" w:cs="Times New Roman"/>
                <w:sz w:val="24"/>
                <w:szCs w:val="24"/>
                <w:lang w:val="en-US" w:eastAsia="zh-CN"/>
              </w:rPr>
              <w:t>突发</w:t>
            </w:r>
            <w:r>
              <w:rPr>
                <w:rFonts w:hint="default" w:ascii="Times New Roman" w:hAnsi="Times New Roman" w:eastAsia="仿宋" w:cs="Times New Roman"/>
                <w:sz w:val="24"/>
                <w:szCs w:val="24"/>
              </w:rPr>
              <w:t>的</w:t>
            </w:r>
            <w:r>
              <w:rPr>
                <w:rFonts w:hint="eastAsia" w:cs="Times New Roman"/>
                <w:sz w:val="24"/>
                <w:szCs w:val="24"/>
                <w:lang w:val="en-US" w:eastAsia="zh-CN"/>
              </w:rPr>
              <w:t>各类</w:t>
            </w:r>
            <w:r>
              <w:rPr>
                <w:rFonts w:hint="default" w:ascii="Times New Roman" w:hAnsi="Times New Roman" w:eastAsia="仿宋" w:cs="Times New Roman"/>
                <w:sz w:val="24"/>
                <w:szCs w:val="24"/>
              </w:rPr>
              <w:t>紧急情况。</w:t>
            </w:r>
          </w:p>
        </w:tc>
      </w:tr>
      <w:tr w14:paraId="113F0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736627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566908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阮云波</w:t>
            </w:r>
          </w:p>
        </w:tc>
        <w:tc>
          <w:tcPr>
            <w:tcW w:w="600" w:type="pct"/>
            <w:shd w:val="clear" w:color="auto" w:fill="auto"/>
            <w:noWrap w:val="0"/>
            <w:vAlign w:val="center"/>
          </w:tcPr>
          <w:p w14:paraId="2C8E0F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0358-2157211</w:t>
            </w:r>
          </w:p>
        </w:tc>
        <w:tc>
          <w:tcPr>
            <w:tcW w:w="486" w:type="pct"/>
            <w:shd w:val="clear" w:color="auto" w:fill="auto"/>
            <w:noWrap w:val="0"/>
            <w:vAlign w:val="center"/>
          </w:tcPr>
          <w:p w14:paraId="0B1C063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杏花村镇人民政府</w:t>
            </w:r>
            <w:r>
              <w:rPr>
                <w:rFonts w:hint="eastAsia" w:cs="Times New Roman"/>
                <w:sz w:val="24"/>
                <w:szCs w:val="24"/>
                <w:lang w:val="en-US" w:eastAsia="zh-CN"/>
              </w:rPr>
              <w:t>镇长</w:t>
            </w:r>
          </w:p>
        </w:tc>
        <w:tc>
          <w:tcPr>
            <w:tcW w:w="1206" w:type="pct"/>
            <w:vMerge w:val="continue"/>
            <w:noWrap w:val="0"/>
            <w:vAlign w:val="center"/>
          </w:tcPr>
          <w:p w14:paraId="626E5A9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5A8F52D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411A0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11351B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39F2D1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芦峰</w:t>
            </w:r>
          </w:p>
        </w:tc>
        <w:tc>
          <w:tcPr>
            <w:tcW w:w="600" w:type="pct"/>
            <w:shd w:val="clear" w:color="auto" w:fill="auto"/>
            <w:noWrap w:val="0"/>
            <w:vAlign w:val="center"/>
          </w:tcPr>
          <w:p w14:paraId="212861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0358-7366206</w:t>
            </w:r>
          </w:p>
        </w:tc>
        <w:tc>
          <w:tcPr>
            <w:tcW w:w="486" w:type="pct"/>
            <w:shd w:val="clear" w:color="auto" w:fill="auto"/>
            <w:noWrap w:val="0"/>
            <w:vAlign w:val="center"/>
          </w:tcPr>
          <w:p w14:paraId="1EDE6E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冀村镇人民政府</w:t>
            </w:r>
            <w:r>
              <w:rPr>
                <w:rFonts w:hint="eastAsia" w:cs="Times New Roman"/>
                <w:sz w:val="24"/>
                <w:szCs w:val="24"/>
                <w:lang w:val="en-US" w:eastAsia="zh-CN"/>
              </w:rPr>
              <w:t>镇长</w:t>
            </w:r>
          </w:p>
        </w:tc>
        <w:tc>
          <w:tcPr>
            <w:tcW w:w="1206" w:type="pct"/>
            <w:vMerge w:val="continue"/>
            <w:noWrap w:val="0"/>
            <w:vAlign w:val="center"/>
          </w:tcPr>
          <w:p w14:paraId="60D9797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0809948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1D3D0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01D616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5AFC0D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张志胜</w:t>
            </w:r>
          </w:p>
        </w:tc>
        <w:tc>
          <w:tcPr>
            <w:tcW w:w="600" w:type="pct"/>
            <w:shd w:val="clear" w:color="auto" w:fill="auto"/>
            <w:noWrap w:val="0"/>
            <w:vAlign w:val="center"/>
          </w:tcPr>
          <w:p w14:paraId="03B3F8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0358-7550878</w:t>
            </w:r>
          </w:p>
        </w:tc>
        <w:tc>
          <w:tcPr>
            <w:tcW w:w="486" w:type="pct"/>
            <w:shd w:val="clear" w:color="auto" w:fill="auto"/>
            <w:noWrap w:val="0"/>
            <w:vAlign w:val="center"/>
          </w:tcPr>
          <w:p w14:paraId="7128B62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肖家庄镇人民政府</w:t>
            </w:r>
            <w:r>
              <w:rPr>
                <w:rFonts w:hint="eastAsia" w:cs="Times New Roman"/>
                <w:sz w:val="24"/>
                <w:szCs w:val="24"/>
                <w:lang w:val="en-US" w:eastAsia="zh-CN"/>
              </w:rPr>
              <w:t>镇长</w:t>
            </w:r>
          </w:p>
        </w:tc>
        <w:tc>
          <w:tcPr>
            <w:tcW w:w="1206" w:type="pct"/>
            <w:vMerge w:val="continue"/>
            <w:noWrap w:val="0"/>
            <w:vAlign w:val="center"/>
          </w:tcPr>
          <w:p w14:paraId="00BF90E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708F3CA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0D279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0F2D18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64515C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张麒麟</w:t>
            </w:r>
          </w:p>
        </w:tc>
        <w:tc>
          <w:tcPr>
            <w:tcW w:w="600" w:type="pct"/>
            <w:shd w:val="clear" w:color="auto" w:fill="auto"/>
            <w:noWrap w:val="0"/>
            <w:vAlign w:val="center"/>
          </w:tcPr>
          <w:p w14:paraId="1433FE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0358-7560317</w:t>
            </w:r>
          </w:p>
        </w:tc>
        <w:tc>
          <w:tcPr>
            <w:tcW w:w="486" w:type="pct"/>
            <w:shd w:val="clear" w:color="auto" w:fill="auto"/>
            <w:noWrap w:val="0"/>
            <w:vAlign w:val="center"/>
          </w:tcPr>
          <w:p w14:paraId="6BD16F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演武镇人民政府</w:t>
            </w:r>
            <w:r>
              <w:rPr>
                <w:rFonts w:hint="eastAsia" w:cs="Times New Roman"/>
                <w:sz w:val="24"/>
                <w:szCs w:val="24"/>
                <w:lang w:val="en-US" w:eastAsia="zh-CN"/>
              </w:rPr>
              <w:t>镇长</w:t>
            </w:r>
          </w:p>
        </w:tc>
        <w:tc>
          <w:tcPr>
            <w:tcW w:w="1206" w:type="pct"/>
            <w:vMerge w:val="continue"/>
            <w:noWrap w:val="0"/>
            <w:vAlign w:val="center"/>
          </w:tcPr>
          <w:p w14:paraId="2AD3540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74A809F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695D4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jc w:val="center"/>
        </w:trPr>
        <w:tc>
          <w:tcPr>
            <w:tcW w:w="752" w:type="pct"/>
            <w:gridSpan w:val="2"/>
            <w:vMerge w:val="continue"/>
            <w:noWrap w:val="0"/>
            <w:vAlign w:val="center"/>
          </w:tcPr>
          <w:p w14:paraId="3DEAD4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7C4F92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张建生</w:t>
            </w:r>
          </w:p>
        </w:tc>
        <w:tc>
          <w:tcPr>
            <w:tcW w:w="600" w:type="pct"/>
            <w:shd w:val="clear" w:color="auto" w:fill="auto"/>
            <w:noWrap w:val="0"/>
            <w:vAlign w:val="center"/>
          </w:tcPr>
          <w:p w14:paraId="2C53A6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0358-2107880</w:t>
            </w:r>
          </w:p>
        </w:tc>
        <w:tc>
          <w:tcPr>
            <w:tcW w:w="486" w:type="pct"/>
            <w:shd w:val="clear" w:color="auto" w:fill="auto"/>
            <w:noWrap w:val="0"/>
            <w:vAlign w:val="center"/>
          </w:tcPr>
          <w:p w14:paraId="6E476E2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三泉镇人民政府</w:t>
            </w:r>
            <w:r>
              <w:rPr>
                <w:rFonts w:hint="eastAsia" w:cs="Times New Roman"/>
                <w:sz w:val="24"/>
                <w:szCs w:val="24"/>
                <w:lang w:val="en-US" w:eastAsia="zh-CN"/>
              </w:rPr>
              <w:t>镇长</w:t>
            </w:r>
          </w:p>
        </w:tc>
        <w:tc>
          <w:tcPr>
            <w:tcW w:w="1206" w:type="pct"/>
            <w:vMerge w:val="continue"/>
            <w:noWrap w:val="0"/>
            <w:vAlign w:val="center"/>
          </w:tcPr>
          <w:p w14:paraId="06D2786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5120A59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65B12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1E9D88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7DE188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eastAsia" w:cs="Times New Roman"/>
                <w:sz w:val="24"/>
                <w:szCs w:val="24"/>
                <w:lang w:val="en-US" w:eastAsia="zh-CN"/>
              </w:rPr>
              <w:t>温靖慜</w:t>
            </w:r>
          </w:p>
        </w:tc>
        <w:tc>
          <w:tcPr>
            <w:tcW w:w="600" w:type="pct"/>
            <w:shd w:val="clear" w:color="auto" w:fill="auto"/>
            <w:noWrap w:val="0"/>
            <w:vAlign w:val="center"/>
          </w:tcPr>
          <w:p w14:paraId="7D1854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0358-7529993</w:t>
            </w:r>
          </w:p>
        </w:tc>
        <w:tc>
          <w:tcPr>
            <w:tcW w:w="486" w:type="pct"/>
            <w:shd w:val="clear" w:color="auto" w:fill="auto"/>
            <w:noWrap w:val="0"/>
            <w:vAlign w:val="center"/>
          </w:tcPr>
          <w:p w14:paraId="10CCD1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杨家庄镇人民政府</w:t>
            </w:r>
            <w:r>
              <w:rPr>
                <w:rFonts w:hint="eastAsia" w:cs="Times New Roman"/>
                <w:sz w:val="24"/>
                <w:szCs w:val="24"/>
                <w:lang w:val="en-US" w:eastAsia="zh-CN"/>
              </w:rPr>
              <w:t>镇长</w:t>
            </w:r>
          </w:p>
        </w:tc>
        <w:tc>
          <w:tcPr>
            <w:tcW w:w="1206" w:type="pct"/>
            <w:vMerge w:val="continue"/>
            <w:noWrap w:val="0"/>
            <w:vAlign w:val="center"/>
          </w:tcPr>
          <w:p w14:paraId="62D258C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3B19667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65365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156F9B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22BF81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陈文泉</w:t>
            </w:r>
          </w:p>
        </w:tc>
        <w:tc>
          <w:tcPr>
            <w:tcW w:w="600" w:type="pct"/>
            <w:shd w:val="clear" w:color="auto" w:fill="auto"/>
            <w:noWrap w:val="0"/>
            <w:vAlign w:val="center"/>
          </w:tcPr>
          <w:p w14:paraId="4CB8574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0358-7555506</w:t>
            </w:r>
          </w:p>
        </w:tc>
        <w:tc>
          <w:tcPr>
            <w:tcW w:w="486" w:type="pct"/>
            <w:shd w:val="clear" w:color="auto" w:fill="auto"/>
            <w:noWrap w:val="0"/>
            <w:vAlign w:val="center"/>
          </w:tcPr>
          <w:p w14:paraId="29B727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峪道河镇人民政府</w:t>
            </w:r>
            <w:r>
              <w:rPr>
                <w:rFonts w:hint="eastAsia" w:cs="Times New Roman"/>
                <w:sz w:val="24"/>
                <w:szCs w:val="24"/>
                <w:lang w:val="en-US" w:eastAsia="zh-CN"/>
              </w:rPr>
              <w:t>镇长</w:t>
            </w:r>
          </w:p>
        </w:tc>
        <w:tc>
          <w:tcPr>
            <w:tcW w:w="1206" w:type="pct"/>
            <w:vMerge w:val="continue"/>
            <w:noWrap w:val="0"/>
            <w:vAlign w:val="center"/>
          </w:tcPr>
          <w:p w14:paraId="17DE046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5CD13BF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43931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35BC5D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3E8CDB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郝艳兵</w:t>
            </w:r>
          </w:p>
        </w:tc>
        <w:tc>
          <w:tcPr>
            <w:tcW w:w="600" w:type="pct"/>
            <w:shd w:val="clear" w:color="auto" w:fill="auto"/>
            <w:noWrap w:val="0"/>
            <w:vAlign w:val="center"/>
          </w:tcPr>
          <w:p w14:paraId="7C120B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0358-7500363</w:t>
            </w:r>
          </w:p>
        </w:tc>
        <w:tc>
          <w:tcPr>
            <w:tcW w:w="486" w:type="pct"/>
            <w:shd w:val="clear" w:color="auto" w:fill="auto"/>
            <w:noWrap w:val="0"/>
            <w:vAlign w:val="center"/>
          </w:tcPr>
          <w:p w14:paraId="59A967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阳城</w:t>
            </w:r>
            <w:r>
              <w:rPr>
                <w:rFonts w:hint="eastAsia" w:ascii="Times New Roman" w:hAnsi="Times New Roman" w:cs="Times New Roman"/>
                <w:sz w:val="24"/>
                <w:szCs w:val="24"/>
                <w:lang w:val="en-US" w:eastAsia="zh-CN"/>
              </w:rPr>
              <w:t>镇</w:t>
            </w:r>
            <w:r>
              <w:rPr>
                <w:rFonts w:hint="default" w:ascii="Times New Roman" w:hAnsi="Times New Roman" w:eastAsia="仿宋" w:cs="Times New Roman"/>
                <w:sz w:val="24"/>
                <w:szCs w:val="24"/>
                <w:lang w:val="en-US" w:eastAsia="zh-CN"/>
              </w:rPr>
              <w:t>人民政府</w:t>
            </w:r>
            <w:r>
              <w:rPr>
                <w:rFonts w:hint="eastAsia" w:cs="Times New Roman"/>
                <w:sz w:val="24"/>
                <w:szCs w:val="24"/>
                <w:lang w:val="en-US" w:eastAsia="zh-CN"/>
              </w:rPr>
              <w:t>镇长</w:t>
            </w:r>
          </w:p>
        </w:tc>
        <w:tc>
          <w:tcPr>
            <w:tcW w:w="1206" w:type="pct"/>
            <w:vMerge w:val="continue"/>
            <w:noWrap w:val="0"/>
            <w:vAlign w:val="center"/>
          </w:tcPr>
          <w:p w14:paraId="11101D9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0A113FF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06301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022FF8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0A1D23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王欢</w:t>
            </w:r>
          </w:p>
        </w:tc>
        <w:tc>
          <w:tcPr>
            <w:tcW w:w="600" w:type="pct"/>
            <w:shd w:val="clear" w:color="auto" w:fill="auto"/>
            <w:noWrap w:val="0"/>
            <w:vAlign w:val="center"/>
          </w:tcPr>
          <w:p w14:paraId="2C3422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0358-7370569</w:t>
            </w:r>
          </w:p>
        </w:tc>
        <w:tc>
          <w:tcPr>
            <w:tcW w:w="486" w:type="pct"/>
            <w:shd w:val="clear" w:color="auto" w:fill="auto"/>
            <w:noWrap w:val="0"/>
            <w:vAlign w:val="center"/>
          </w:tcPr>
          <w:p w14:paraId="6956F2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栗家庄</w:t>
            </w:r>
            <w:r>
              <w:rPr>
                <w:rFonts w:hint="eastAsia" w:cs="Times New Roman"/>
                <w:sz w:val="24"/>
                <w:szCs w:val="24"/>
                <w:lang w:val="en-US" w:eastAsia="zh-CN"/>
              </w:rPr>
              <w:t>镇</w:t>
            </w:r>
            <w:r>
              <w:rPr>
                <w:rFonts w:hint="default" w:ascii="Times New Roman" w:hAnsi="Times New Roman" w:eastAsia="仿宋" w:cs="Times New Roman"/>
                <w:sz w:val="24"/>
                <w:szCs w:val="24"/>
                <w:lang w:val="en-US" w:eastAsia="zh-CN"/>
              </w:rPr>
              <w:t>人民政府</w:t>
            </w:r>
            <w:r>
              <w:rPr>
                <w:rFonts w:hint="eastAsia" w:cs="Times New Roman"/>
                <w:sz w:val="24"/>
                <w:szCs w:val="24"/>
                <w:lang w:val="en-US" w:eastAsia="zh-CN"/>
              </w:rPr>
              <w:t>镇长</w:t>
            </w:r>
          </w:p>
        </w:tc>
        <w:tc>
          <w:tcPr>
            <w:tcW w:w="1206" w:type="pct"/>
            <w:vMerge w:val="continue"/>
            <w:noWrap w:val="0"/>
            <w:vAlign w:val="center"/>
          </w:tcPr>
          <w:p w14:paraId="4C25388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1CCBCF3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05203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4D6EAE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0E3AFC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宋天虎</w:t>
            </w:r>
          </w:p>
        </w:tc>
        <w:tc>
          <w:tcPr>
            <w:tcW w:w="600" w:type="pct"/>
            <w:shd w:val="clear" w:color="auto" w:fill="auto"/>
            <w:noWrap w:val="0"/>
            <w:vAlign w:val="center"/>
          </w:tcPr>
          <w:p w14:paraId="7DA63B0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0358-7281638</w:t>
            </w:r>
          </w:p>
        </w:tc>
        <w:tc>
          <w:tcPr>
            <w:tcW w:w="486" w:type="pct"/>
            <w:shd w:val="clear" w:color="auto" w:fill="auto"/>
            <w:noWrap w:val="0"/>
            <w:vAlign w:val="center"/>
          </w:tcPr>
          <w:p w14:paraId="7130EC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石庄镇人民政府</w:t>
            </w:r>
            <w:r>
              <w:rPr>
                <w:rFonts w:hint="eastAsia" w:cs="Times New Roman"/>
                <w:sz w:val="24"/>
                <w:szCs w:val="24"/>
                <w:lang w:val="en-US" w:eastAsia="zh-CN"/>
              </w:rPr>
              <w:t>镇长</w:t>
            </w:r>
          </w:p>
        </w:tc>
        <w:tc>
          <w:tcPr>
            <w:tcW w:w="1206" w:type="pct"/>
            <w:vMerge w:val="continue"/>
            <w:noWrap w:val="0"/>
            <w:vAlign w:val="center"/>
          </w:tcPr>
          <w:p w14:paraId="2B4C241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1799216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27F93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restart"/>
            <w:noWrap w:val="0"/>
            <w:vAlign w:val="center"/>
          </w:tcPr>
          <w:p w14:paraId="394720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应急办公室</w:t>
            </w: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lang w:val="en-US" w:eastAsia="zh-CN"/>
              </w:rPr>
              <w:t>设在</w:t>
            </w:r>
            <w:r>
              <w:rPr>
                <w:rFonts w:hint="eastAsia" w:cs="Times New Roman"/>
                <w:sz w:val="24"/>
                <w:szCs w:val="24"/>
                <w:lang w:val="en-US" w:eastAsia="zh-CN"/>
              </w:rPr>
              <w:t>各水源地所在乡镇人民政府</w:t>
            </w:r>
            <w:r>
              <w:rPr>
                <w:rFonts w:hint="default" w:ascii="Times New Roman" w:hAnsi="Times New Roman" w:eastAsia="仿宋" w:cs="Times New Roman"/>
                <w:sz w:val="24"/>
                <w:szCs w:val="24"/>
                <w:lang w:eastAsia="zh-CN"/>
              </w:rPr>
              <w:t>）</w:t>
            </w:r>
          </w:p>
        </w:tc>
        <w:tc>
          <w:tcPr>
            <w:tcW w:w="348" w:type="pct"/>
            <w:shd w:val="clear" w:color="auto" w:fill="auto"/>
            <w:noWrap w:val="0"/>
            <w:vAlign w:val="center"/>
          </w:tcPr>
          <w:p w14:paraId="2664AF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刘静</w:t>
            </w:r>
          </w:p>
        </w:tc>
        <w:tc>
          <w:tcPr>
            <w:tcW w:w="600" w:type="pct"/>
            <w:shd w:val="clear" w:color="auto" w:fill="auto"/>
            <w:noWrap w:val="0"/>
            <w:vAlign w:val="center"/>
          </w:tcPr>
          <w:p w14:paraId="24C655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0358-7380074</w:t>
            </w:r>
          </w:p>
        </w:tc>
        <w:tc>
          <w:tcPr>
            <w:tcW w:w="486" w:type="pct"/>
            <w:shd w:val="clear" w:color="auto" w:fill="auto"/>
            <w:noWrap w:val="0"/>
            <w:vAlign w:val="center"/>
          </w:tcPr>
          <w:p w14:paraId="218E25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贾家庄镇人民政府</w:t>
            </w:r>
            <w:r>
              <w:rPr>
                <w:rFonts w:hint="eastAsia" w:cs="Times New Roman"/>
                <w:sz w:val="24"/>
                <w:szCs w:val="24"/>
                <w:lang w:val="en-US" w:eastAsia="zh-CN"/>
              </w:rPr>
              <w:t>镇长</w:t>
            </w:r>
          </w:p>
        </w:tc>
        <w:tc>
          <w:tcPr>
            <w:tcW w:w="1206" w:type="pct"/>
            <w:vMerge w:val="restart"/>
            <w:noWrap w:val="0"/>
            <w:vAlign w:val="center"/>
          </w:tcPr>
          <w:p w14:paraId="42DFE65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①负责水源地应急预案的日常管理，开展预案培训和演练、应急救援队伍建设和能力评估等工作；</w:t>
            </w:r>
          </w:p>
          <w:p w14:paraId="3825AD8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②组织开展水源地突发环境事件风险防范和应急准备工作</w:t>
            </w:r>
          </w:p>
          <w:p w14:paraId="2ED4713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③辖区水源地的保护和管理</w:t>
            </w:r>
          </w:p>
        </w:tc>
        <w:tc>
          <w:tcPr>
            <w:tcW w:w="1605" w:type="pct"/>
            <w:vMerge w:val="restart"/>
            <w:noWrap w:val="0"/>
            <w:vAlign w:val="center"/>
          </w:tcPr>
          <w:p w14:paraId="53CD15E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①贯彻执行总指挥、副总指挥的各项指令和要求；</w:t>
            </w:r>
          </w:p>
          <w:p w14:paraId="2BC2E7F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②负责信息汇总上报，并与有关的外部应急部门、组织和机构进行联络；</w:t>
            </w:r>
          </w:p>
          <w:p w14:paraId="51FA64A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③负责调动应急人员、调配应急资源和联络外部应急组织或机构；</w:t>
            </w:r>
          </w:p>
          <w:p w14:paraId="2837BC1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s="Times New Roman"/>
                <w:sz w:val="24"/>
                <w:szCs w:val="24"/>
                <w:lang w:eastAsia="zh-CN"/>
              </w:rPr>
            </w:pPr>
            <w:r>
              <w:rPr>
                <w:rFonts w:hint="default" w:ascii="Times New Roman" w:hAnsi="Times New Roman" w:eastAsia="仿宋" w:cs="Times New Roman"/>
                <w:sz w:val="24"/>
                <w:szCs w:val="24"/>
              </w:rPr>
              <w:t>④收集整理有关事件数据</w:t>
            </w:r>
            <w:r>
              <w:rPr>
                <w:rFonts w:hint="eastAsia" w:cs="Times New Roman"/>
                <w:sz w:val="24"/>
                <w:szCs w:val="24"/>
                <w:lang w:eastAsia="zh-CN"/>
              </w:rPr>
              <w:t>；</w:t>
            </w:r>
          </w:p>
          <w:p w14:paraId="6789074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s="Times New Roman"/>
                <w:sz w:val="24"/>
                <w:szCs w:val="24"/>
                <w:lang w:eastAsia="zh-CN"/>
              </w:rPr>
            </w:pPr>
            <w:r>
              <w:rPr>
                <w:rFonts w:hint="eastAsia" w:ascii="微软雅黑" w:hAnsi="微软雅黑" w:eastAsia="微软雅黑" w:cs="微软雅黑"/>
                <w:sz w:val="24"/>
                <w:szCs w:val="24"/>
              </w:rPr>
              <w:t>⑤</w:t>
            </w:r>
            <w:r>
              <w:rPr>
                <w:rFonts w:hint="default" w:ascii="Times New Roman" w:hAnsi="Times New Roman" w:eastAsia="仿宋" w:cs="Times New Roman"/>
                <w:sz w:val="24"/>
                <w:szCs w:val="24"/>
              </w:rPr>
              <w:t>负责协调区域资源调配；落实指挥部下达到的指令；组织受影响群众的转移和安置</w:t>
            </w:r>
          </w:p>
          <w:p w14:paraId="268F0BA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1F368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0942C9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33E305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阮云波</w:t>
            </w:r>
          </w:p>
        </w:tc>
        <w:tc>
          <w:tcPr>
            <w:tcW w:w="600" w:type="pct"/>
            <w:shd w:val="clear" w:color="auto" w:fill="auto"/>
            <w:noWrap w:val="0"/>
            <w:vAlign w:val="center"/>
          </w:tcPr>
          <w:p w14:paraId="55E05B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0358-2157211</w:t>
            </w:r>
          </w:p>
        </w:tc>
        <w:tc>
          <w:tcPr>
            <w:tcW w:w="486" w:type="pct"/>
            <w:shd w:val="clear" w:color="auto" w:fill="auto"/>
            <w:noWrap w:val="0"/>
            <w:vAlign w:val="center"/>
          </w:tcPr>
          <w:p w14:paraId="22A8C8B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杏花村镇人民政府</w:t>
            </w:r>
            <w:r>
              <w:rPr>
                <w:rFonts w:hint="eastAsia" w:cs="Times New Roman"/>
                <w:sz w:val="24"/>
                <w:szCs w:val="24"/>
                <w:lang w:val="en-US" w:eastAsia="zh-CN"/>
              </w:rPr>
              <w:t>镇长</w:t>
            </w:r>
          </w:p>
        </w:tc>
        <w:tc>
          <w:tcPr>
            <w:tcW w:w="1206" w:type="pct"/>
            <w:vMerge w:val="continue"/>
            <w:noWrap w:val="0"/>
            <w:vAlign w:val="center"/>
          </w:tcPr>
          <w:p w14:paraId="0E29536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47A57AA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7D2C8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7204B8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18450A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芦峰</w:t>
            </w:r>
          </w:p>
        </w:tc>
        <w:tc>
          <w:tcPr>
            <w:tcW w:w="600" w:type="pct"/>
            <w:shd w:val="clear" w:color="auto" w:fill="auto"/>
            <w:noWrap w:val="0"/>
            <w:vAlign w:val="center"/>
          </w:tcPr>
          <w:p w14:paraId="0A4AD5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0358-7366206</w:t>
            </w:r>
          </w:p>
        </w:tc>
        <w:tc>
          <w:tcPr>
            <w:tcW w:w="486" w:type="pct"/>
            <w:shd w:val="clear" w:color="auto" w:fill="auto"/>
            <w:noWrap w:val="0"/>
            <w:vAlign w:val="center"/>
          </w:tcPr>
          <w:p w14:paraId="598710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冀村镇人民政府</w:t>
            </w:r>
            <w:r>
              <w:rPr>
                <w:rFonts w:hint="eastAsia" w:cs="Times New Roman"/>
                <w:sz w:val="24"/>
                <w:szCs w:val="24"/>
                <w:lang w:val="en-US" w:eastAsia="zh-CN"/>
              </w:rPr>
              <w:t>镇长</w:t>
            </w:r>
          </w:p>
        </w:tc>
        <w:tc>
          <w:tcPr>
            <w:tcW w:w="1206" w:type="pct"/>
            <w:vMerge w:val="continue"/>
            <w:noWrap w:val="0"/>
            <w:vAlign w:val="center"/>
          </w:tcPr>
          <w:p w14:paraId="4900C04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02E1A5C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7487D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53796C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1C016B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张志胜</w:t>
            </w:r>
          </w:p>
        </w:tc>
        <w:tc>
          <w:tcPr>
            <w:tcW w:w="600" w:type="pct"/>
            <w:shd w:val="clear" w:color="auto" w:fill="auto"/>
            <w:noWrap w:val="0"/>
            <w:vAlign w:val="center"/>
          </w:tcPr>
          <w:p w14:paraId="18F2CB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0358-7550878</w:t>
            </w:r>
          </w:p>
        </w:tc>
        <w:tc>
          <w:tcPr>
            <w:tcW w:w="486" w:type="pct"/>
            <w:shd w:val="clear" w:color="auto" w:fill="auto"/>
            <w:noWrap w:val="0"/>
            <w:vAlign w:val="center"/>
          </w:tcPr>
          <w:p w14:paraId="47F89F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肖家庄镇人民政府</w:t>
            </w:r>
            <w:r>
              <w:rPr>
                <w:rFonts w:hint="eastAsia" w:cs="Times New Roman"/>
                <w:sz w:val="24"/>
                <w:szCs w:val="24"/>
                <w:lang w:val="en-US" w:eastAsia="zh-CN"/>
              </w:rPr>
              <w:t>镇长</w:t>
            </w:r>
          </w:p>
        </w:tc>
        <w:tc>
          <w:tcPr>
            <w:tcW w:w="1206" w:type="pct"/>
            <w:vMerge w:val="continue"/>
            <w:noWrap w:val="0"/>
            <w:vAlign w:val="center"/>
          </w:tcPr>
          <w:p w14:paraId="3337F2A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7DF1F8A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302AC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6F60EB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120809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张麒麟</w:t>
            </w:r>
          </w:p>
        </w:tc>
        <w:tc>
          <w:tcPr>
            <w:tcW w:w="600" w:type="pct"/>
            <w:shd w:val="clear" w:color="auto" w:fill="auto"/>
            <w:noWrap w:val="0"/>
            <w:vAlign w:val="center"/>
          </w:tcPr>
          <w:p w14:paraId="6607BAF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0358-7560317</w:t>
            </w:r>
          </w:p>
        </w:tc>
        <w:tc>
          <w:tcPr>
            <w:tcW w:w="486" w:type="pct"/>
            <w:shd w:val="clear" w:color="auto" w:fill="auto"/>
            <w:noWrap w:val="0"/>
            <w:vAlign w:val="center"/>
          </w:tcPr>
          <w:p w14:paraId="589002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演武镇人民政府</w:t>
            </w:r>
            <w:r>
              <w:rPr>
                <w:rFonts w:hint="eastAsia" w:cs="Times New Roman"/>
                <w:sz w:val="24"/>
                <w:szCs w:val="24"/>
                <w:lang w:val="en-US" w:eastAsia="zh-CN"/>
              </w:rPr>
              <w:t>镇长</w:t>
            </w:r>
          </w:p>
        </w:tc>
        <w:tc>
          <w:tcPr>
            <w:tcW w:w="1206" w:type="pct"/>
            <w:vMerge w:val="continue"/>
            <w:noWrap w:val="0"/>
            <w:vAlign w:val="center"/>
          </w:tcPr>
          <w:p w14:paraId="5D2F140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13869C2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17D13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3CC975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5C8331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张建生</w:t>
            </w:r>
          </w:p>
        </w:tc>
        <w:tc>
          <w:tcPr>
            <w:tcW w:w="600" w:type="pct"/>
            <w:shd w:val="clear" w:color="auto" w:fill="auto"/>
            <w:noWrap w:val="0"/>
            <w:vAlign w:val="center"/>
          </w:tcPr>
          <w:p w14:paraId="0BCAEF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0358-2107880</w:t>
            </w:r>
          </w:p>
        </w:tc>
        <w:tc>
          <w:tcPr>
            <w:tcW w:w="486" w:type="pct"/>
            <w:shd w:val="clear" w:color="auto" w:fill="auto"/>
            <w:noWrap w:val="0"/>
            <w:vAlign w:val="center"/>
          </w:tcPr>
          <w:p w14:paraId="6FE59C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三泉镇人民政府</w:t>
            </w:r>
            <w:r>
              <w:rPr>
                <w:rFonts w:hint="eastAsia" w:cs="Times New Roman"/>
                <w:sz w:val="24"/>
                <w:szCs w:val="24"/>
                <w:lang w:val="en-US" w:eastAsia="zh-CN"/>
              </w:rPr>
              <w:t>镇长</w:t>
            </w:r>
          </w:p>
        </w:tc>
        <w:tc>
          <w:tcPr>
            <w:tcW w:w="1206" w:type="pct"/>
            <w:vMerge w:val="continue"/>
            <w:noWrap w:val="0"/>
            <w:vAlign w:val="center"/>
          </w:tcPr>
          <w:p w14:paraId="4747BEC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069A2EB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38627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1ECBD2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7B9148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eastAsia" w:cs="Times New Roman"/>
                <w:sz w:val="24"/>
                <w:szCs w:val="24"/>
                <w:lang w:val="en-US" w:eastAsia="zh-CN"/>
              </w:rPr>
              <w:t>温靖慜</w:t>
            </w:r>
          </w:p>
        </w:tc>
        <w:tc>
          <w:tcPr>
            <w:tcW w:w="600" w:type="pct"/>
            <w:shd w:val="clear" w:color="auto" w:fill="auto"/>
            <w:noWrap w:val="0"/>
            <w:vAlign w:val="center"/>
          </w:tcPr>
          <w:p w14:paraId="750FE6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0358-7529993</w:t>
            </w:r>
          </w:p>
        </w:tc>
        <w:tc>
          <w:tcPr>
            <w:tcW w:w="486" w:type="pct"/>
            <w:shd w:val="clear" w:color="auto" w:fill="auto"/>
            <w:noWrap w:val="0"/>
            <w:vAlign w:val="center"/>
          </w:tcPr>
          <w:p w14:paraId="5A365C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杨家庄镇人民政府</w:t>
            </w:r>
            <w:r>
              <w:rPr>
                <w:rFonts w:hint="eastAsia" w:cs="Times New Roman"/>
                <w:sz w:val="24"/>
                <w:szCs w:val="24"/>
                <w:lang w:val="en-US" w:eastAsia="zh-CN"/>
              </w:rPr>
              <w:t>镇长</w:t>
            </w:r>
          </w:p>
        </w:tc>
        <w:tc>
          <w:tcPr>
            <w:tcW w:w="1206" w:type="pct"/>
            <w:vMerge w:val="continue"/>
            <w:noWrap w:val="0"/>
            <w:vAlign w:val="center"/>
          </w:tcPr>
          <w:p w14:paraId="38BF174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1FCEE48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743C6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4D02ED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0A5522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陈文泉</w:t>
            </w:r>
          </w:p>
        </w:tc>
        <w:tc>
          <w:tcPr>
            <w:tcW w:w="600" w:type="pct"/>
            <w:shd w:val="clear" w:color="auto" w:fill="auto"/>
            <w:noWrap w:val="0"/>
            <w:vAlign w:val="center"/>
          </w:tcPr>
          <w:p w14:paraId="0B57B4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0358-7555506</w:t>
            </w:r>
          </w:p>
        </w:tc>
        <w:tc>
          <w:tcPr>
            <w:tcW w:w="486" w:type="pct"/>
            <w:shd w:val="clear" w:color="auto" w:fill="auto"/>
            <w:noWrap w:val="0"/>
            <w:vAlign w:val="center"/>
          </w:tcPr>
          <w:p w14:paraId="2C9F7C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峪道河镇人民政府</w:t>
            </w:r>
            <w:r>
              <w:rPr>
                <w:rFonts w:hint="eastAsia" w:cs="Times New Roman"/>
                <w:sz w:val="24"/>
                <w:szCs w:val="24"/>
                <w:lang w:val="en-US" w:eastAsia="zh-CN"/>
              </w:rPr>
              <w:t>镇长</w:t>
            </w:r>
          </w:p>
        </w:tc>
        <w:tc>
          <w:tcPr>
            <w:tcW w:w="1206" w:type="pct"/>
            <w:vMerge w:val="continue"/>
            <w:noWrap w:val="0"/>
            <w:vAlign w:val="center"/>
          </w:tcPr>
          <w:p w14:paraId="67762C1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120CF21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79331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7BCE9E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6800AAF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郝艳兵</w:t>
            </w:r>
          </w:p>
        </w:tc>
        <w:tc>
          <w:tcPr>
            <w:tcW w:w="600" w:type="pct"/>
            <w:shd w:val="clear" w:color="auto" w:fill="auto"/>
            <w:noWrap w:val="0"/>
            <w:vAlign w:val="center"/>
          </w:tcPr>
          <w:p w14:paraId="482908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0358-7500363</w:t>
            </w:r>
          </w:p>
        </w:tc>
        <w:tc>
          <w:tcPr>
            <w:tcW w:w="486" w:type="pct"/>
            <w:shd w:val="clear" w:color="auto" w:fill="auto"/>
            <w:noWrap w:val="0"/>
            <w:vAlign w:val="center"/>
          </w:tcPr>
          <w:p w14:paraId="0CD1B6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阳城</w:t>
            </w:r>
            <w:r>
              <w:rPr>
                <w:rFonts w:hint="eastAsia" w:ascii="Times New Roman" w:hAnsi="Times New Roman" w:cs="Times New Roman"/>
                <w:sz w:val="24"/>
                <w:szCs w:val="24"/>
                <w:lang w:val="en-US" w:eastAsia="zh-CN"/>
              </w:rPr>
              <w:t>镇</w:t>
            </w:r>
            <w:r>
              <w:rPr>
                <w:rFonts w:hint="default" w:ascii="Times New Roman" w:hAnsi="Times New Roman" w:eastAsia="仿宋" w:cs="Times New Roman"/>
                <w:sz w:val="24"/>
                <w:szCs w:val="24"/>
                <w:lang w:val="en-US" w:eastAsia="zh-CN"/>
              </w:rPr>
              <w:t>人民政府</w:t>
            </w:r>
            <w:r>
              <w:rPr>
                <w:rFonts w:hint="eastAsia" w:cs="Times New Roman"/>
                <w:sz w:val="24"/>
                <w:szCs w:val="24"/>
                <w:lang w:val="en-US" w:eastAsia="zh-CN"/>
              </w:rPr>
              <w:t>镇长</w:t>
            </w:r>
          </w:p>
        </w:tc>
        <w:tc>
          <w:tcPr>
            <w:tcW w:w="1206" w:type="pct"/>
            <w:vMerge w:val="continue"/>
            <w:noWrap w:val="0"/>
            <w:vAlign w:val="center"/>
          </w:tcPr>
          <w:p w14:paraId="2568FF5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76E1E56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6C890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3BA1DE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08B841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王欢</w:t>
            </w:r>
          </w:p>
        </w:tc>
        <w:tc>
          <w:tcPr>
            <w:tcW w:w="600" w:type="pct"/>
            <w:shd w:val="clear" w:color="auto" w:fill="auto"/>
            <w:noWrap w:val="0"/>
            <w:vAlign w:val="center"/>
          </w:tcPr>
          <w:p w14:paraId="2AF9DB2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0358-7370569</w:t>
            </w:r>
          </w:p>
        </w:tc>
        <w:tc>
          <w:tcPr>
            <w:tcW w:w="486" w:type="pct"/>
            <w:shd w:val="clear" w:color="auto" w:fill="auto"/>
            <w:noWrap w:val="0"/>
            <w:vAlign w:val="center"/>
          </w:tcPr>
          <w:p w14:paraId="6E2A518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栗家庄</w:t>
            </w:r>
            <w:r>
              <w:rPr>
                <w:rFonts w:hint="eastAsia" w:cs="Times New Roman"/>
                <w:sz w:val="24"/>
                <w:szCs w:val="24"/>
                <w:lang w:val="en-US" w:eastAsia="zh-CN"/>
              </w:rPr>
              <w:t>镇</w:t>
            </w:r>
            <w:r>
              <w:rPr>
                <w:rFonts w:hint="default" w:ascii="Times New Roman" w:hAnsi="Times New Roman" w:eastAsia="仿宋" w:cs="Times New Roman"/>
                <w:sz w:val="24"/>
                <w:szCs w:val="24"/>
                <w:lang w:val="en-US" w:eastAsia="zh-CN"/>
              </w:rPr>
              <w:t>人民政府</w:t>
            </w:r>
            <w:r>
              <w:rPr>
                <w:rFonts w:hint="eastAsia" w:cs="Times New Roman"/>
                <w:sz w:val="24"/>
                <w:szCs w:val="24"/>
                <w:lang w:val="en-US" w:eastAsia="zh-CN"/>
              </w:rPr>
              <w:t>镇长</w:t>
            </w:r>
          </w:p>
        </w:tc>
        <w:tc>
          <w:tcPr>
            <w:tcW w:w="1206" w:type="pct"/>
            <w:vMerge w:val="continue"/>
            <w:noWrap w:val="0"/>
            <w:vAlign w:val="center"/>
          </w:tcPr>
          <w:p w14:paraId="7AA6018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40C6473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3B27C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52" w:type="pct"/>
            <w:gridSpan w:val="2"/>
            <w:vMerge w:val="continue"/>
            <w:noWrap w:val="0"/>
            <w:vAlign w:val="center"/>
          </w:tcPr>
          <w:p w14:paraId="58666B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4"/>
                <w:szCs w:val="24"/>
              </w:rPr>
            </w:pPr>
          </w:p>
        </w:tc>
        <w:tc>
          <w:tcPr>
            <w:tcW w:w="348" w:type="pct"/>
            <w:shd w:val="clear" w:color="auto" w:fill="auto"/>
            <w:noWrap w:val="0"/>
            <w:vAlign w:val="center"/>
          </w:tcPr>
          <w:p w14:paraId="7E2846E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宋天虎</w:t>
            </w:r>
          </w:p>
        </w:tc>
        <w:tc>
          <w:tcPr>
            <w:tcW w:w="600" w:type="pct"/>
            <w:shd w:val="clear" w:color="auto" w:fill="auto"/>
            <w:noWrap w:val="0"/>
            <w:vAlign w:val="center"/>
          </w:tcPr>
          <w:p w14:paraId="6624A3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zh-CN"/>
              </w:rPr>
            </w:pPr>
            <w:r>
              <w:rPr>
                <w:rFonts w:hint="default" w:ascii="Times New Roman" w:hAnsi="Times New Roman" w:eastAsia="仿宋" w:cs="Times New Roman"/>
                <w:sz w:val="24"/>
                <w:szCs w:val="24"/>
                <w:lang w:val="en-US" w:eastAsia="zh-CN"/>
              </w:rPr>
              <w:t>0358-7281638</w:t>
            </w:r>
          </w:p>
        </w:tc>
        <w:tc>
          <w:tcPr>
            <w:tcW w:w="486" w:type="pct"/>
            <w:shd w:val="clear" w:color="auto" w:fill="auto"/>
            <w:noWrap w:val="0"/>
            <w:vAlign w:val="center"/>
          </w:tcPr>
          <w:p w14:paraId="0A41BB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sz w:val="24"/>
                <w:szCs w:val="24"/>
                <w:lang w:val="en-US" w:eastAsia="zh-CN"/>
              </w:rPr>
              <w:t>石庄镇人民政府</w:t>
            </w:r>
            <w:r>
              <w:rPr>
                <w:rFonts w:hint="eastAsia" w:cs="Times New Roman"/>
                <w:sz w:val="24"/>
                <w:szCs w:val="24"/>
                <w:lang w:val="en-US" w:eastAsia="zh-CN"/>
              </w:rPr>
              <w:t>镇长</w:t>
            </w:r>
          </w:p>
        </w:tc>
        <w:tc>
          <w:tcPr>
            <w:tcW w:w="1206" w:type="pct"/>
            <w:vMerge w:val="continue"/>
            <w:noWrap w:val="0"/>
            <w:vAlign w:val="center"/>
          </w:tcPr>
          <w:p w14:paraId="1503F77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1053B8B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p>
        </w:tc>
      </w:tr>
      <w:tr w14:paraId="2F3B4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restart"/>
            <w:noWrap w:val="0"/>
            <w:vAlign w:val="center"/>
          </w:tcPr>
          <w:p w14:paraId="63E551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成员单位</w:t>
            </w:r>
          </w:p>
        </w:tc>
        <w:tc>
          <w:tcPr>
            <w:tcW w:w="527" w:type="pct"/>
            <w:shd w:val="clear" w:color="auto" w:fill="auto"/>
            <w:noWrap w:val="0"/>
            <w:vAlign w:val="center"/>
          </w:tcPr>
          <w:p w14:paraId="50B429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汾阳市应急管理局</w:t>
            </w:r>
          </w:p>
        </w:tc>
        <w:tc>
          <w:tcPr>
            <w:tcW w:w="348" w:type="pct"/>
            <w:shd w:val="clear" w:color="auto" w:fill="auto"/>
            <w:noWrap w:val="0"/>
            <w:vAlign w:val="center"/>
          </w:tcPr>
          <w:p w14:paraId="26C240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田健</w:t>
            </w:r>
          </w:p>
        </w:tc>
        <w:tc>
          <w:tcPr>
            <w:tcW w:w="600" w:type="pct"/>
            <w:shd w:val="clear" w:color="auto" w:fill="auto"/>
            <w:noWrap w:val="0"/>
            <w:vAlign w:val="center"/>
          </w:tcPr>
          <w:p w14:paraId="0F643F9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0358-7301126</w:t>
            </w:r>
          </w:p>
        </w:tc>
        <w:tc>
          <w:tcPr>
            <w:tcW w:w="486" w:type="pct"/>
            <w:shd w:val="clear" w:color="auto" w:fill="auto"/>
            <w:noWrap w:val="0"/>
            <w:vAlign w:val="center"/>
          </w:tcPr>
          <w:p w14:paraId="451349E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局长</w:t>
            </w:r>
          </w:p>
        </w:tc>
        <w:tc>
          <w:tcPr>
            <w:tcW w:w="1206" w:type="pct"/>
            <w:noWrap w:val="0"/>
            <w:vAlign w:val="center"/>
          </w:tcPr>
          <w:p w14:paraId="5B8A746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负责安全生产监管，防范企业生产安全事故次生水源地突发环境事件，及时上报并通报事故信息。</w:t>
            </w:r>
          </w:p>
        </w:tc>
        <w:tc>
          <w:tcPr>
            <w:tcW w:w="1605" w:type="pct"/>
            <w:noWrap w:val="0"/>
            <w:vAlign w:val="center"/>
          </w:tcPr>
          <w:p w14:paraId="2213319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处置因自然灾害、企业安全生产事故、违法排污等导致的水源地突发环境事件。负责有关应急物资的日常维护和使用管理</w:t>
            </w:r>
          </w:p>
        </w:tc>
      </w:tr>
      <w:tr w14:paraId="120E3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2E177D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527" w:type="pct"/>
            <w:shd w:val="clear" w:color="auto" w:fill="auto"/>
            <w:noWrap w:val="0"/>
            <w:vAlign w:val="center"/>
          </w:tcPr>
          <w:p w14:paraId="394DDF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吕梁市生态环境局汾阳分局</w:t>
            </w:r>
          </w:p>
        </w:tc>
        <w:tc>
          <w:tcPr>
            <w:tcW w:w="348" w:type="pct"/>
            <w:shd w:val="clear" w:color="auto" w:fill="auto"/>
            <w:noWrap w:val="0"/>
            <w:vAlign w:val="center"/>
          </w:tcPr>
          <w:p w14:paraId="32A6AD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李江鹏</w:t>
            </w:r>
          </w:p>
        </w:tc>
        <w:tc>
          <w:tcPr>
            <w:tcW w:w="600" w:type="pct"/>
            <w:shd w:val="clear" w:color="auto" w:fill="auto"/>
            <w:noWrap w:val="0"/>
            <w:vAlign w:val="center"/>
          </w:tcPr>
          <w:p w14:paraId="57B524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rPr>
              <w:t>0358-</w:t>
            </w:r>
            <w:r>
              <w:rPr>
                <w:rFonts w:hint="default" w:ascii="Times New Roman" w:hAnsi="Times New Roman" w:eastAsia="仿宋" w:cs="Times New Roman"/>
                <w:sz w:val="24"/>
                <w:szCs w:val="24"/>
                <w:highlight w:val="none"/>
                <w:lang w:val="en-US" w:eastAsia="zh-CN"/>
              </w:rPr>
              <w:t>7223300</w:t>
            </w:r>
          </w:p>
        </w:tc>
        <w:tc>
          <w:tcPr>
            <w:tcW w:w="486" w:type="pct"/>
            <w:shd w:val="clear" w:color="auto" w:fill="auto"/>
            <w:noWrap w:val="0"/>
            <w:vAlign w:val="center"/>
          </w:tcPr>
          <w:p w14:paraId="3636F9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局长</w:t>
            </w:r>
          </w:p>
        </w:tc>
        <w:tc>
          <w:tcPr>
            <w:tcW w:w="1206" w:type="pct"/>
            <w:noWrap w:val="0"/>
            <w:vAlign w:val="center"/>
          </w:tcPr>
          <w:p w14:paraId="77B8B9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组织编制、修订水源地应急预案；</w:t>
            </w:r>
            <w:r>
              <w:rPr>
                <w:rFonts w:hint="default" w:ascii="Times New Roman" w:hAnsi="Times New Roman" w:eastAsia="仿宋" w:cs="Times New Roman"/>
                <w:sz w:val="24"/>
                <w:szCs w:val="24"/>
                <w:highlight w:val="none"/>
              </w:rPr>
              <w:t>水源地例行监测、及时上报并通报水源地水质异常信息，开展水源地污染防治的日常监督和管理</w:t>
            </w:r>
          </w:p>
        </w:tc>
        <w:tc>
          <w:tcPr>
            <w:tcW w:w="1605" w:type="pct"/>
            <w:noWrap w:val="0"/>
            <w:vAlign w:val="center"/>
          </w:tcPr>
          <w:p w14:paraId="4AFE69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负责应急监测及事件排除后的跟踪监测，提出消除污染物的处置建议，督促、指导</w:t>
            </w:r>
            <w:r>
              <w:rPr>
                <w:rFonts w:hint="eastAsia" w:cs="Times New Roman"/>
                <w:sz w:val="24"/>
                <w:szCs w:val="24"/>
                <w:highlight w:val="none"/>
                <w:lang w:eastAsia="zh-CN"/>
              </w:rPr>
              <w:t>相关部门</w:t>
            </w:r>
            <w:r>
              <w:rPr>
                <w:rFonts w:hint="default" w:ascii="Times New Roman" w:hAnsi="Times New Roman" w:eastAsia="仿宋" w:cs="Times New Roman"/>
                <w:sz w:val="24"/>
                <w:szCs w:val="24"/>
                <w:highlight w:val="none"/>
              </w:rPr>
              <w:t>和单位开展水源地污染物削减处置等工作</w:t>
            </w:r>
          </w:p>
        </w:tc>
      </w:tr>
      <w:tr w14:paraId="4C184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57B89D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527" w:type="pct"/>
            <w:shd w:val="clear" w:color="auto" w:fill="auto"/>
            <w:noWrap w:val="0"/>
            <w:vAlign w:val="center"/>
          </w:tcPr>
          <w:p w14:paraId="2560A7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eastAsia" w:cs="Times New Roman"/>
                <w:sz w:val="24"/>
                <w:szCs w:val="24"/>
                <w:highlight w:val="none"/>
                <w:lang w:val="en-US" w:eastAsia="zh-CN"/>
              </w:rPr>
              <w:t>汾阳市自然资源局</w:t>
            </w:r>
          </w:p>
        </w:tc>
        <w:tc>
          <w:tcPr>
            <w:tcW w:w="348" w:type="pct"/>
            <w:noWrap w:val="0"/>
            <w:vAlign w:val="center"/>
          </w:tcPr>
          <w:p w14:paraId="415D74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eastAsia" w:cs="Times New Roman"/>
                <w:sz w:val="24"/>
                <w:szCs w:val="24"/>
                <w:highlight w:val="none"/>
                <w:lang w:val="en-US" w:eastAsia="zh-CN"/>
              </w:rPr>
              <w:t>张云飚</w:t>
            </w:r>
          </w:p>
        </w:tc>
        <w:tc>
          <w:tcPr>
            <w:tcW w:w="600" w:type="pct"/>
            <w:noWrap w:val="0"/>
            <w:vAlign w:val="center"/>
          </w:tcPr>
          <w:p w14:paraId="46680C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0358-7223440</w:t>
            </w:r>
          </w:p>
        </w:tc>
        <w:tc>
          <w:tcPr>
            <w:tcW w:w="486" w:type="pct"/>
            <w:noWrap w:val="0"/>
            <w:vAlign w:val="center"/>
          </w:tcPr>
          <w:p w14:paraId="3F2845D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局长</w:t>
            </w:r>
          </w:p>
        </w:tc>
        <w:tc>
          <w:tcPr>
            <w:tcW w:w="1206" w:type="pct"/>
            <w:noWrap w:val="0"/>
            <w:vAlign w:val="center"/>
          </w:tcPr>
          <w:p w14:paraId="4D03F3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lang w:val="en-US" w:eastAsia="zh-CN"/>
              </w:rPr>
            </w:pPr>
            <w:r>
              <w:rPr>
                <w:rFonts w:hint="eastAsia" w:cs="Times New Roman"/>
                <w:sz w:val="24"/>
                <w:szCs w:val="24"/>
                <w:highlight w:val="none"/>
                <w:lang w:val="en-US" w:eastAsia="zh-CN"/>
              </w:rPr>
              <w:t>规划适用于水源地突发环境事件应急处置的场地，保障水源地突发环境事件应急处置的场地</w:t>
            </w:r>
          </w:p>
        </w:tc>
        <w:tc>
          <w:tcPr>
            <w:tcW w:w="1605" w:type="pct"/>
            <w:noWrap w:val="0"/>
            <w:vAlign w:val="center"/>
          </w:tcPr>
          <w:p w14:paraId="2C21CC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负责指导由突发环境事件造成国土空间生态破坏的应急处置、调查处理和生态修复</w:t>
            </w:r>
          </w:p>
        </w:tc>
      </w:tr>
      <w:tr w14:paraId="28E81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35E91A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527" w:type="pct"/>
            <w:shd w:val="clear" w:color="auto" w:fill="auto"/>
            <w:noWrap w:val="0"/>
            <w:vAlign w:val="center"/>
          </w:tcPr>
          <w:p w14:paraId="45851E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汾阳市工科局</w:t>
            </w:r>
          </w:p>
        </w:tc>
        <w:tc>
          <w:tcPr>
            <w:tcW w:w="348" w:type="pct"/>
            <w:noWrap w:val="0"/>
            <w:vAlign w:val="center"/>
          </w:tcPr>
          <w:p w14:paraId="32CC716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路进春</w:t>
            </w:r>
          </w:p>
        </w:tc>
        <w:tc>
          <w:tcPr>
            <w:tcW w:w="600" w:type="pct"/>
            <w:noWrap w:val="0"/>
            <w:vAlign w:val="center"/>
          </w:tcPr>
          <w:p w14:paraId="3F3F31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highlight w:val="none"/>
                <w:lang w:val="en-US" w:eastAsia="zh-CN"/>
              </w:rPr>
              <w:t>0358-7336046</w:t>
            </w:r>
          </w:p>
        </w:tc>
        <w:tc>
          <w:tcPr>
            <w:tcW w:w="486" w:type="pct"/>
            <w:noWrap w:val="0"/>
            <w:vAlign w:val="center"/>
          </w:tcPr>
          <w:p w14:paraId="132DA8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局长</w:t>
            </w:r>
          </w:p>
        </w:tc>
        <w:tc>
          <w:tcPr>
            <w:tcW w:w="1206" w:type="pct"/>
            <w:noWrap w:val="0"/>
            <w:vAlign w:val="center"/>
          </w:tcPr>
          <w:p w14:paraId="7A9D01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负责应急状态下紧缺物资生产组织工作</w:t>
            </w:r>
          </w:p>
        </w:tc>
        <w:tc>
          <w:tcPr>
            <w:tcW w:w="1605" w:type="pct"/>
            <w:noWrap w:val="0"/>
            <w:vAlign w:val="center"/>
          </w:tcPr>
          <w:p w14:paraId="5C839D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做好通信保障应急工作，确保应急处置现场的通信网络畅通</w:t>
            </w:r>
          </w:p>
        </w:tc>
      </w:tr>
      <w:tr w14:paraId="78D24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6B2CCE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527" w:type="pct"/>
            <w:shd w:val="clear" w:color="auto" w:fill="auto"/>
            <w:noWrap w:val="0"/>
            <w:vAlign w:val="center"/>
          </w:tcPr>
          <w:p w14:paraId="252A7E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汾阳市交通运输局</w:t>
            </w:r>
          </w:p>
        </w:tc>
        <w:tc>
          <w:tcPr>
            <w:tcW w:w="348" w:type="pct"/>
            <w:noWrap w:val="0"/>
            <w:vAlign w:val="center"/>
          </w:tcPr>
          <w:p w14:paraId="12E0AF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何雄</w:t>
            </w:r>
          </w:p>
        </w:tc>
        <w:tc>
          <w:tcPr>
            <w:tcW w:w="600" w:type="pct"/>
            <w:noWrap w:val="0"/>
            <w:vAlign w:val="center"/>
          </w:tcPr>
          <w:p w14:paraId="2A8267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highlight w:val="none"/>
                <w:lang w:val="en-US" w:eastAsia="zh-CN"/>
              </w:rPr>
              <w:t>0358-7222228</w:t>
            </w:r>
          </w:p>
        </w:tc>
        <w:tc>
          <w:tcPr>
            <w:tcW w:w="486" w:type="pct"/>
            <w:noWrap w:val="0"/>
            <w:vAlign w:val="center"/>
          </w:tcPr>
          <w:p w14:paraId="43C18A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局长</w:t>
            </w:r>
          </w:p>
        </w:tc>
        <w:tc>
          <w:tcPr>
            <w:tcW w:w="1206" w:type="pct"/>
            <w:noWrap w:val="0"/>
            <w:vAlign w:val="center"/>
          </w:tcPr>
          <w:p w14:paraId="1FAC55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负责危险化学品运输车辆跨越水源保护区道路桥梁的日常应急管理工作，建设维护道路桥梁应急工程设施</w:t>
            </w:r>
          </w:p>
        </w:tc>
        <w:tc>
          <w:tcPr>
            <w:tcW w:w="1605" w:type="pct"/>
            <w:noWrap w:val="0"/>
            <w:vAlign w:val="center"/>
          </w:tcPr>
          <w:p w14:paraId="7CCCDF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指导</w:t>
            </w:r>
            <w:r>
              <w:rPr>
                <w:rFonts w:hint="eastAsia" w:ascii="Times New Roman" w:hAnsi="Times New Roman" w:cs="Times New Roman"/>
                <w:sz w:val="24"/>
                <w:szCs w:val="24"/>
                <w:highlight w:val="none"/>
                <w:lang w:val="en-US" w:eastAsia="zh-CN"/>
              </w:rPr>
              <w:t>市</w:t>
            </w:r>
            <w:r>
              <w:rPr>
                <w:rFonts w:hint="default" w:ascii="Times New Roman" w:hAnsi="Times New Roman" w:eastAsia="仿宋" w:cs="Times New Roman"/>
                <w:sz w:val="24"/>
                <w:szCs w:val="24"/>
                <w:highlight w:val="none"/>
              </w:rPr>
              <w:t>自来水公司的应急救援工作，组织</w:t>
            </w:r>
            <w:r>
              <w:rPr>
                <w:rFonts w:hint="eastAsia" w:ascii="Times New Roman" w:hAnsi="Times New Roman" w:cs="Times New Roman"/>
                <w:sz w:val="24"/>
                <w:szCs w:val="24"/>
                <w:highlight w:val="none"/>
                <w:lang w:val="en-US" w:eastAsia="zh-CN"/>
              </w:rPr>
              <w:t>市</w:t>
            </w:r>
            <w:r>
              <w:rPr>
                <w:rFonts w:hint="default" w:ascii="Times New Roman" w:hAnsi="Times New Roman" w:eastAsia="仿宋" w:cs="Times New Roman"/>
                <w:sz w:val="24"/>
                <w:szCs w:val="24"/>
                <w:highlight w:val="none"/>
              </w:rPr>
              <w:t>自来水公司进行应急监测，向事故水源地应急供水等应急工作。协助处置交通事故次生的水源地突发环境事件，事故发生后及时启用道路桥梁应急工程设施，并负责保障应急物资运输车辆快速通行</w:t>
            </w:r>
          </w:p>
        </w:tc>
      </w:tr>
      <w:tr w14:paraId="21462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6AAB85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527" w:type="pct"/>
            <w:shd w:val="clear" w:color="auto" w:fill="auto"/>
            <w:noWrap w:val="0"/>
            <w:vAlign w:val="center"/>
          </w:tcPr>
          <w:p w14:paraId="6A742B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汾阳市农业农村局</w:t>
            </w:r>
          </w:p>
        </w:tc>
        <w:tc>
          <w:tcPr>
            <w:tcW w:w="348" w:type="pct"/>
            <w:noWrap w:val="0"/>
            <w:vAlign w:val="center"/>
          </w:tcPr>
          <w:p w14:paraId="29D04B4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eastAsia" w:cs="Times New Roman"/>
                <w:sz w:val="24"/>
                <w:szCs w:val="24"/>
                <w:highlight w:val="none"/>
                <w:lang w:val="en-US" w:eastAsia="zh-CN"/>
              </w:rPr>
              <w:t>任正业</w:t>
            </w:r>
          </w:p>
        </w:tc>
        <w:tc>
          <w:tcPr>
            <w:tcW w:w="600" w:type="pct"/>
            <w:noWrap w:val="0"/>
            <w:vAlign w:val="center"/>
          </w:tcPr>
          <w:p w14:paraId="7B591A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highlight w:val="none"/>
                <w:lang w:val="en-US" w:eastAsia="zh-CN"/>
              </w:rPr>
              <w:t>0358-7223</w:t>
            </w:r>
            <w:r>
              <w:rPr>
                <w:rFonts w:hint="eastAsia" w:cs="Times New Roman"/>
                <w:sz w:val="24"/>
                <w:szCs w:val="24"/>
                <w:highlight w:val="none"/>
                <w:lang w:val="en-US" w:eastAsia="zh-CN"/>
              </w:rPr>
              <w:t>304</w:t>
            </w:r>
          </w:p>
        </w:tc>
        <w:tc>
          <w:tcPr>
            <w:tcW w:w="486" w:type="pct"/>
            <w:noWrap w:val="0"/>
            <w:vAlign w:val="center"/>
          </w:tcPr>
          <w:p w14:paraId="364337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局长</w:t>
            </w:r>
          </w:p>
        </w:tc>
        <w:tc>
          <w:tcPr>
            <w:tcW w:w="1206" w:type="pct"/>
            <w:noWrap w:val="0"/>
            <w:vAlign w:val="center"/>
          </w:tcPr>
          <w:p w14:paraId="0AE2FCB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highlight w:val="none"/>
              </w:rPr>
              <w:t>管理暴雨期间入河农灌退水排放行为，防范农业面源导致的水源地突发环境事件</w:t>
            </w:r>
            <w:r>
              <w:rPr>
                <w:rFonts w:hint="default" w:ascii="Times New Roman" w:hAnsi="Times New Roman" w:eastAsia="仿宋" w:cs="Times New Roman"/>
                <w:sz w:val="24"/>
                <w:szCs w:val="24"/>
                <w:highlight w:val="none"/>
                <w:lang w:eastAsia="zh-CN"/>
              </w:rPr>
              <w:t>；负责指导水源地水利设施建设和管理；</w:t>
            </w:r>
          </w:p>
        </w:tc>
        <w:tc>
          <w:tcPr>
            <w:tcW w:w="1605" w:type="pct"/>
            <w:noWrap w:val="0"/>
            <w:vAlign w:val="center"/>
          </w:tcPr>
          <w:p w14:paraId="41FE14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highlight w:val="none"/>
              </w:rPr>
              <w:t>协助处置因农业面源、渔业养殖导致的水源地突发环境事件。对具有农灌功能的水源地，在应急期间暂停农灌取水</w:t>
            </w:r>
            <w:r>
              <w:rPr>
                <w:rFonts w:hint="default" w:ascii="Times New Roman" w:hAnsi="Times New Roman" w:eastAsia="仿宋" w:cs="Times New Roman"/>
                <w:sz w:val="24"/>
                <w:szCs w:val="24"/>
                <w:highlight w:val="none"/>
                <w:lang w:eastAsia="zh-CN"/>
              </w:rPr>
              <w:t>；按照应急指挥部要求，利用水利工程进行污染团拦截、降污或调水稀释等工作；负责协调提供与水源地突发环境事件相关的水文监测资料；配合</w:t>
            </w:r>
            <w:r>
              <w:rPr>
                <w:rFonts w:hint="eastAsia" w:cs="Times New Roman"/>
                <w:sz w:val="24"/>
                <w:szCs w:val="24"/>
                <w:highlight w:val="none"/>
                <w:lang w:eastAsia="zh-CN"/>
              </w:rPr>
              <w:t>相关部门</w:t>
            </w:r>
            <w:r>
              <w:rPr>
                <w:rFonts w:hint="default" w:ascii="Times New Roman" w:hAnsi="Times New Roman" w:eastAsia="仿宋" w:cs="Times New Roman"/>
                <w:sz w:val="24"/>
                <w:szCs w:val="24"/>
                <w:highlight w:val="none"/>
                <w:lang w:eastAsia="zh-CN"/>
              </w:rPr>
              <w:t>开展对水源水质及其受污染原因的调查和监测；参与分析总结饮用水水源地突发环境事件应急处置工作</w:t>
            </w:r>
          </w:p>
        </w:tc>
      </w:tr>
      <w:tr w14:paraId="6A2E1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069584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527" w:type="pct"/>
            <w:shd w:val="clear" w:color="auto" w:fill="auto"/>
            <w:noWrap w:val="0"/>
            <w:vAlign w:val="center"/>
          </w:tcPr>
          <w:p w14:paraId="560FFF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汾阳市公安局</w:t>
            </w:r>
          </w:p>
        </w:tc>
        <w:tc>
          <w:tcPr>
            <w:tcW w:w="348" w:type="pct"/>
            <w:noWrap w:val="0"/>
            <w:vAlign w:val="center"/>
          </w:tcPr>
          <w:p w14:paraId="591AD3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李建军</w:t>
            </w:r>
          </w:p>
        </w:tc>
        <w:tc>
          <w:tcPr>
            <w:tcW w:w="600" w:type="pct"/>
            <w:noWrap w:val="0"/>
            <w:vAlign w:val="center"/>
          </w:tcPr>
          <w:p w14:paraId="5BB8E95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highlight w:val="none"/>
                <w:lang w:val="en-US" w:eastAsia="zh-CN"/>
              </w:rPr>
              <w:t>0358-7336784</w:t>
            </w:r>
          </w:p>
        </w:tc>
        <w:tc>
          <w:tcPr>
            <w:tcW w:w="486" w:type="pct"/>
            <w:noWrap w:val="0"/>
            <w:vAlign w:val="center"/>
          </w:tcPr>
          <w:p w14:paraId="6994C4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局长</w:t>
            </w:r>
          </w:p>
        </w:tc>
        <w:tc>
          <w:tcPr>
            <w:tcW w:w="1206" w:type="pct"/>
            <w:noWrap w:val="0"/>
            <w:vAlign w:val="center"/>
          </w:tcPr>
          <w:p w14:paraId="672D70B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查处导致水源地突发环境事件的违法犯罪行为</w:t>
            </w:r>
          </w:p>
        </w:tc>
        <w:tc>
          <w:tcPr>
            <w:tcW w:w="1605" w:type="pct"/>
            <w:noWrap w:val="0"/>
            <w:vAlign w:val="center"/>
          </w:tcPr>
          <w:p w14:paraId="4738E9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负责组织地下水型水源地突发环境事件应急救援治安维护，交通管制，危险区域实施治安警戒，疏散群众，维护社会稳定</w:t>
            </w:r>
          </w:p>
        </w:tc>
      </w:tr>
      <w:tr w14:paraId="559ED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32D44DB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527" w:type="pct"/>
            <w:shd w:val="clear" w:color="auto" w:fill="auto"/>
            <w:noWrap w:val="0"/>
            <w:vAlign w:val="center"/>
          </w:tcPr>
          <w:p w14:paraId="5418DB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汾阳市财政局</w:t>
            </w:r>
          </w:p>
        </w:tc>
        <w:tc>
          <w:tcPr>
            <w:tcW w:w="348" w:type="pct"/>
            <w:noWrap w:val="0"/>
            <w:vAlign w:val="center"/>
          </w:tcPr>
          <w:p w14:paraId="745ADB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张宁</w:t>
            </w:r>
          </w:p>
        </w:tc>
        <w:tc>
          <w:tcPr>
            <w:tcW w:w="600" w:type="pct"/>
            <w:noWrap w:val="0"/>
            <w:vAlign w:val="center"/>
          </w:tcPr>
          <w:p w14:paraId="65CAA3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highlight w:val="none"/>
                <w:lang w:val="en-US" w:eastAsia="zh-CN"/>
              </w:rPr>
              <w:t>0358-7333348</w:t>
            </w:r>
          </w:p>
        </w:tc>
        <w:tc>
          <w:tcPr>
            <w:tcW w:w="486" w:type="pct"/>
            <w:noWrap w:val="0"/>
            <w:vAlign w:val="center"/>
          </w:tcPr>
          <w:p w14:paraId="58B680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局长</w:t>
            </w:r>
          </w:p>
        </w:tc>
        <w:tc>
          <w:tcPr>
            <w:tcW w:w="1206" w:type="pct"/>
            <w:noWrap w:val="0"/>
            <w:vAlign w:val="center"/>
          </w:tcPr>
          <w:p w14:paraId="088526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负责保障水源地突发环境事件应急管理工作和应急处置期间的费用</w:t>
            </w:r>
          </w:p>
        </w:tc>
        <w:tc>
          <w:tcPr>
            <w:tcW w:w="1605" w:type="pct"/>
            <w:noWrap w:val="0"/>
            <w:vAlign w:val="center"/>
          </w:tcPr>
          <w:p w14:paraId="62B67C3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负责保障水源地突发环境事件应急管理工作和应急处置期间的费用</w:t>
            </w:r>
          </w:p>
        </w:tc>
      </w:tr>
      <w:tr w14:paraId="0022A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3FAB00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527" w:type="pct"/>
            <w:shd w:val="clear" w:color="auto" w:fill="auto"/>
            <w:noWrap w:val="0"/>
            <w:vAlign w:val="center"/>
          </w:tcPr>
          <w:p w14:paraId="6F90BE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汾阳市人力资源社会保障局</w:t>
            </w:r>
          </w:p>
        </w:tc>
        <w:tc>
          <w:tcPr>
            <w:tcW w:w="348" w:type="pct"/>
            <w:noWrap w:val="0"/>
            <w:vAlign w:val="center"/>
          </w:tcPr>
          <w:p w14:paraId="5BB3D0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王镇东</w:t>
            </w:r>
          </w:p>
        </w:tc>
        <w:tc>
          <w:tcPr>
            <w:tcW w:w="600" w:type="pct"/>
            <w:noWrap w:val="0"/>
            <w:vAlign w:val="center"/>
          </w:tcPr>
          <w:p w14:paraId="3C41DC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highlight w:val="none"/>
                <w:lang w:val="en-US" w:eastAsia="zh-CN"/>
              </w:rPr>
              <w:t>0358-7333324</w:t>
            </w:r>
          </w:p>
        </w:tc>
        <w:tc>
          <w:tcPr>
            <w:tcW w:w="486" w:type="pct"/>
            <w:noWrap w:val="0"/>
            <w:vAlign w:val="center"/>
          </w:tcPr>
          <w:p w14:paraId="360CC1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局长</w:t>
            </w:r>
          </w:p>
        </w:tc>
        <w:tc>
          <w:tcPr>
            <w:tcW w:w="1206" w:type="pct"/>
            <w:vMerge w:val="restart"/>
            <w:noWrap w:val="0"/>
            <w:vAlign w:val="center"/>
          </w:tcPr>
          <w:p w14:paraId="06DFCA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w:t>
            </w:r>
            <w:r>
              <w:rPr>
                <w:rFonts w:hint="eastAsia" w:cs="Times New Roman"/>
                <w:sz w:val="24"/>
                <w:szCs w:val="24"/>
                <w:highlight w:val="none"/>
                <w:lang w:val="en-US" w:eastAsia="zh-CN"/>
              </w:rPr>
              <w:t>日常应急物资的储备</w:t>
            </w:r>
          </w:p>
        </w:tc>
        <w:tc>
          <w:tcPr>
            <w:tcW w:w="1605" w:type="pct"/>
            <w:vMerge w:val="restart"/>
            <w:noWrap w:val="0"/>
            <w:vAlign w:val="center"/>
          </w:tcPr>
          <w:p w14:paraId="4A5C714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负责应急物资发放</w:t>
            </w:r>
          </w:p>
        </w:tc>
      </w:tr>
      <w:tr w14:paraId="4427E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07EB8AD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527" w:type="pct"/>
            <w:shd w:val="clear" w:color="auto" w:fill="auto"/>
            <w:noWrap w:val="0"/>
            <w:vAlign w:val="center"/>
          </w:tcPr>
          <w:p w14:paraId="460B17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eastAsia" w:cs="Times New Roman"/>
                <w:sz w:val="24"/>
                <w:szCs w:val="24"/>
                <w:highlight w:val="none"/>
                <w:lang w:val="en-US" w:eastAsia="zh-CN"/>
              </w:rPr>
              <w:t>汾阳市民政局</w:t>
            </w:r>
          </w:p>
        </w:tc>
        <w:tc>
          <w:tcPr>
            <w:tcW w:w="348" w:type="pct"/>
            <w:noWrap w:val="0"/>
            <w:vAlign w:val="center"/>
          </w:tcPr>
          <w:p w14:paraId="6A3B8E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eastAsia" w:cs="Times New Roman"/>
                <w:sz w:val="24"/>
                <w:szCs w:val="24"/>
                <w:highlight w:val="none"/>
                <w:lang w:val="en-US" w:eastAsia="zh-CN"/>
              </w:rPr>
              <w:t>董瑞杰</w:t>
            </w:r>
          </w:p>
        </w:tc>
        <w:tc>
          <w:tcPr>
            <w:tcW w:w="600" w:type="pct"/>
            <w:noWrap w:val="0"/>
            <w:vAlign w:val="center"/>
          </w:tcPr>
          <w:p w14:paraId="6AC636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rPr>
            </w:pPr>
            <w:r>
              <w:rPr>
                <w:rFonts w:hint="eastAsia" w:cs="Times New Roman"/>
                <w:sz w:val="24"/>
                <w:szCs w:val="24"/>
                <w:highlight w:val="none"/>
                <w:lang w:val="en-US" w:eastAsia="zh-CN"/>
              </w:rPr>
              <w:t>0358-7223371</w:t>
            </w:r>
          </w:p>
        </w:tc>
        <w:tc>
          <w:tcPr>
            <w:tcW w:w="486" w:type="pct"/>
            <w:noWrap w:val="0"/>
            <w:vAlign w:val="center"/>
          </w:tcPr>
          <w:p w14:paraId="32E893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eastAsia" w:cs="Times New Roman"/>
                <w:sz w:val="24"/>
                <w:szCs w:val="24"/>
                <w:highlight w:val="none"/>
                <w:lang w:val="en-US" w:eastAsia="zh-CN"/>
              </w:rPr>
              <w:t>局长</w:t>
            </w:r>
          </w:p>
        </w:tc>
        <w:tc>
          <w:tcPr>
            <w:tcW w:w="1206" w:type="pct"/>
            <w:vMerge w:val="continue"/>
            <w:noWrap w:val="0"/>
            <w:vAlign w:val="center"/>
          </w:tcPr>
          <w:p w14:paraId="07A216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25D2B1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p>
        </w:tc>
      </w:tr>
      <w:tr w14:paraId="64148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1538A6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527" w:type="pct"/>
            <w:shd w:val="clear" w:color="auto" w:fill="auto"/>
            <w:noWrap w:val="0"/>
            <w:vAlign w:val="center"/>
          </w:tcPr>
          <w:p w14:paraId="7C3FE3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汾阳市教育体育局</w:t>
            </w:r>
          </w:p>
        </w:tc>
        <w:tc>
          <w:tcPr>
            <w:tcW w:w="348" w:type="pct"/>
            <w:noWrap w:val="0"/>
            <w:vAlign w:val="center"/>
          </w:tcPr>
          <w:p w14:paraId="1BC9FC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武素文</w:t>
            </w:r>
          </w:p>
        </w:tc>
        <w:tc>
          <w:tcPr>
            <w:tcW w:w="600" w:type="pct"/>
            <w:noWrap w:val="0"/>
            <w:vAlign w:val="center"/>
          </w:tcPr>
          <w:p w14:paraId="04F804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highlight w:val="none"/>
                <w:lang w:val="en-US" w:eastAsia="zh-CN"/>
              </w:rPr>
              <w:t>0358-223288</w:t>
            </w:r>
          </w:p>
        </w:tc>
        <w:tc>
          <w:tcPr>
            <w:tcW w:w="486" w:type="pct"/>
            <w:noWrap w:val="0"/>
            <w:vAlign w:val="center"/>
          </w:tcPr>
          <w:p w14:paraId="70011E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局长</w:t>
            </w:r>
          </w:p>
        </w:tc>
        <w:tc>
          <w:tcPr>
            <w:tcW w:w="1206" w:type="pct"/>
            <w:noWrap w:val="0"/>
            <w:vAlign w:val="center"/>
          </w:tcPr>
          <w:p w14:paraId="2B76A2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负责全</w:t>
            </w:r>
            <w:r>
              <w:rPr>
                <w:rFonts w:hint="eastAsia" w:ascii="Times New Roman" w:hAnsi="Times New Roman" w:cs="Times New Roman"/>
                <w:sz w:val="24"/>
                <w:szCs w:val="24"/>
                <w:highlight w:val="none"/>
                <w:lang w:val="en-US" w:eastAsia="zh-CN"/>
              </w:rPr>
              <w:t>市</w:t>
            </w:r>
            <w:r>
              <w:rPr>
                <w:rFonts w:hint="default" w:ascii="Times New Roman" w:hAnsi="Times New Roman" w:eastAsia="仿宋" w:cs="Times New Roman"/>
                <w:sz w:val="24"/>
                <w:szCs w:val="24"/>
                <w:highlight w:val="none"/>
              </w:rPr>
              <w:t>各类学校的突发环境事件应急避险、救援等宣传教育工作</w:t>
            </w:r>
          </w:p>
        </w:tc>
        <w:tc>
          <w:tcPr>
            <w:tcW w:w="1605" w:type="pct"/>
            <w:noWrap w:val="0"/>
            <w:vAlign w:val="center"/>
          </w:tcPr>
          <w:p w14:paraId="08AE89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在突发事件涉及学校的情形下，指导学校制定安全饮水方案并组织实施，做好学生的临时安置和教学工作</w:t>
            </w:r>
          </w:p>
        </w:tc>
      </w:tr>
      <w:tr w14:paraId="50343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09021E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527" w:type="pct"/>
            <w:shd w:val="clear" w:color="auto" w:fill="auto"/>
            <w:noWrap w:val="0"/>
            <w:vAlign w:val="center"/>
          </w:tcPr>
          <w:p w14:paraId="1066F8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汾阳市卫生健康局</w:t>
            </w:r>
          </w:p>
        </w:tc>
        <w:tc>
          <w:tcPr>
            <w:tcW w:w="348" w:type="pct"/>
            <w:noWrap w:val="0"/>
            <w:vAlign w:val="center"/>
          </w:tcPr>
          <w:p w14:paraId="05A52A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任淑宏</w:t>
            </w:r>
          </w:p>
        </w:tc>
        <w:tc>
          <w:tcPr>
            <w:tcW w:w="600" w:type="pct"/>
            <w:noWrap w:val="0"/>
            <w:vAlign w:val="center"/>
          </w:tcPr>
          <w:p w14:paraId="6E12F33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lang w:val="en-US" w:eastAsia="zh-CN"/>
              </w:rPr>
              <w:t>0358-7282368</w:t>
            </w:r>
          </w:p>
        </w:tc>
        <w:tc>
          <w:tcPr>
            <w:tcW w:w="486" w:type="pct"/>
            <w:noWrap w:val="0"/>
            <w:vAlign w:val="center"/>
          </w:tcPr>
          <w:p w14:paraId="6943925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eastAsia" w:ascii="Times New Roman" w:hAnsi="Times New Roman" w:cs="Times New Roman"/>
                <w:sz w:val="24"/>
                <w:szCs w:val="24"/>
                <w:lang w:val="en-US" w:eastAsia="zh-CN"/>
              </w:rPr>
              <w:t>局长</w:t>
            </w:r>
          </w:p>
        </w:tc>
        <w:tc>
          <w:tcPr>
            <w:tcW w:w="1206" w:type="pct"/>
            <w:vMerge w:val="restart"/>
            <w:noWrap w:val="0"/>
            <w:vAlign w:val="center"/>
          </w:tcPr>
          <w:p w14:paraId="49AA37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负责自来水管网末梢水水质卫生日常管理，及时上报并通报管网末梢水水质异常信息</w:t>
            </w:r>
          </w:p>
        </w:tc>
        <w:tc>
          <w:tcPr>
            <w:tcW w:w="1605" w:type="pct"/>
            <w:vMerge w:val="restart"/>
            <w:noWrap w:val="0"/>
            <w:vAlign w:val="center"/>
          </w:tcPr>
          <w:p w14:paraId="2D3F72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负责管网末梢水水质应急监测，确保应急期间居民饮水卫生安全。组织、协调、指导开展突发环境事件应急医疗卫生救援、疾病预防控制工作</w:t>
            </w:r>
          </w:p>
        </w:tc>
      </w:tr>
      <w:tr w14:paraId="488FE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10C62D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527" w:type="pct"/>
            <w:shd w:val="clear" w:color="auto" w:fill="auto"/>
            <w:noWrap w:val="0"/>
            <w:vAlign w:val="center"/>
          </w:tcPr>
          <w:p w14:paraId="77DE60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汾阳市疾病预防控制中心</w:t>
            </w:r>
          </w:p>
        </w:tc>
        <w:tc>
          <w:tcPr>
            <w:tcW w:w="348" w:type="pct"/>
            <w:noWrap w:val="0"/>
            <w:vAlign w:val="center"/>
          </w:tcPr>
          <w:p w14:paraId="52AC70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梁庆胜</w:t>
            </w:r>
          </w:p>
        </w:tc>
        <w:tc>
          <w:tcPr>
            <w:tcW w:w="600" w:type="pct"/>
            <w:noWrap w:val="0"/>
            <w:vAlign w:val="center"/>
          </w:tcPr>
          <w:p w14:paraId="5B7866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highlight w:val="none"/>
                <w:lang w:val="en-US" w:eastAsia="zh-CN"/>
              </w:rPr>
              <w:t>0358-7332360</w:t>
            </w:r>
          </w:p>
        </w:tc>
        <w:tc>
          <w:tcPr>
            <w:tcW w:w="486" w:type="pct"/>
            <w:noWrap w:val="0"/>
            <w:vAlign w:val="center"/>
          </w:tcPr>
          <w:p w14:paraId="55A0F12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主任</w:t>
            </w:r>
          </w:p>
        </w:tc>
        <w:tc>
          <w:tcPr>
            <w:tcW w:w="1206" w:type="pct"/>
            <w:vMerge w:val="continue"/>
            <w:noWrap w:val="0"/>
            <w:vAlign w:val="center"/>
          </w:tcPr>
          <w:p w14:paraId="0FE369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p>
        </w:tc>
        <w:tc>
          <w:tcPr>
            <w:tcW w:w="1605" w:type="pct"/>
            <w:vMerge w:val="continue"/>
            <w:noWrap w:val="0"/>
            <w:vAlign w:val="center"/>
          </w:tcPr>
          <w:p w14:paraId="446ED5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p>
        </w:tc>
      </w:tr>
      <w:tr w14:paraId="04C66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79471C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527" w:type="pct"/>
            <w:shd w:val="clear" w:color="auto" w:fill="auto"/>
            <w:noWrap w:val="0"/>
            <w:vAlign w:val="center"/>
          </w:tcPr>
          <w:p w14:paraId="529B38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汾阳市自来水公司</w:t>
            </w:r>
          </w:p>
        </w:tc>
        <w:tc>
          <w:tcPr>
            <w:tcW w:w="348" w:type="pct"/>
            <w:noWrap w:val="0"/>
            <w:vAlign w:val="center"/>
          </w:tcPr>
          <w:p w14:paraId="56C054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eastAsia" w:cs="Times New Roman"/>
                <w:sz w:val="24"/>
                <w:szCs w:val="24"/>
                <w:highlight w:val="none"/>
                <w:lang w:val="en-US" w:eastAsia="zh-CN"/>
              </w:rPr>
              <w:t>岳晓明</w:t>
            </w:r>
          </w:p>
        </w:tc>
        <w:tc>
          <w:tcPr>
            <w:tcW w:w="600" w:type="pct"/>
            <w:noWrap w:val="0"/>
            <w:vAlign w:val="center"/>
          </w:tcPr>
          <w:p w14:paraId="7948E8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highlight w:val="none"/>
                <w:lang w:val="en-US" w:eastAsia="zh-CN"/>
              </w:rPr>
              <w:t>0358-7222814</w:t>
            </w:r>
          </w:p>
        </w:tc>
        <w:tc>
          <w:tcPr>
            <w:tcW w:w="486" w:type="pct"/>
            <w:noWrap w:val="0"/>
            <w:vAlign w:val="center"/>
          </w:tcPr>
          <w:p w14:paraId="29E49E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经理</w:t>
            </w:r>
          </w:p>
        </w:tc>
        <w:tc>
          <w:tcPr>
            <w:tcW w:w="1206" w:type="pct"/>
            <w:noWrap w:val="0"/>
            <w:vAlign w:val="center"/>
          </w:tcPr>
          <w:p w14:paraId="78F9DC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负责制定应急供水保障方案，指导供水单位启动深度处理设施或备用应急供水车等措施，保障居民用水</w:t>
            </w:r>
          </w:p>
        </w:tc>
        <w:tc>
          <w:tcPr>
            <w:tcW w:w="1605" w:type="pct"/>
            <w:noWrap w:val="0"/>
            <w:vAlign w:val="center"/>
          </w:tcPr>
          <w:p w14:paraId="56221A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负责制定应急供水保障方案，指导供水单位启动深度处理设施或备用应急供水车等措施，保障居民用水</w:t>
            </w:r>
          </w:p>
        </w:tc>
      </w:tr>
      <w:tr w14:paraId="2A9A10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4058635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527" w:type="pct"/>
            <w:shd w:val="clear" w:color="auto" w:fill="auto"/>
            <w:noWrap w:val="0"/>
            <w:vAlign w:val="center"/>
          </w:tcPr>
          <w:p w14:paraId="6605B2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汾阳市消防救援大队</w:t>
            </w:r>
          </w:p>
        </w:tc>
        <w:tc>
          <w:tcPr>
            <w:tcW w:w="348" w:type="pct"/>
            <w:noWrap w:val="0"/>
            <w:vAlign w:val="center"/>
          </w:tcPr>
          <w:p w14:paraId="4E2238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王云林</w:t>
            </w:r>
          </w:p>
        </w:tc>
        <w:tc>
          <w:tcPr>
            <w:tcW w:w="600" w:type="pct"/>
            <w:noWrap w:val="0"/>
            <w:vAlign w:val="center"/>
          </w:tcPr>
          <w:p w14:paraId="27BF2E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highlight w:val="none"/>
                <w:lang w:val="en-US" w:eastAsia="zh-CN"/>
              </w:rPr>
              <w:t>0358-7541580</w:t>
            </w:r>
          </w:p>
        </w:tc>
        <w:tc>
          <w:tcPr>
            <w:tcW w:w="486" w:type="pct"/>
            <w:noWrap w:val="0"/>
            <w:vAlign w:val="center"/>
          </w:tcPr>
          <w:p w14:paraId="7A8C0F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队长</w:t>
            </w:r>
          </w:p>
        </w:tc>
        <w:tc>
          <w:tcPr>
            <w:tcW w:w="1206" w:type="pct"/>
            <w:noWrap w:val="0"/>
            <w:vAlign w:val="center"/>
          </w:tcPr>
          <w:p w14:paraId="683F29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在处置火灾爆炸事故时，防止消防水进入水源地及其连接水体；配合公安机关维护当地社会秩序，保障人民生命财产</w:t>
            </w:r>
          </w:p>
        </w:tc>
        <w:tc>
          <w:tcPr>
            <w:tcW w:w="1605" w:type="pct"/>
            <w:noWrap w:val="0"/>
            <w:vAlign w:val="center"/>
          </w:tcPr>
          <w:p w14:paraId="4F63EBB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负责在应急专家组的指导下处理污染源，参加现场抢险、排险、救援处置工作</w:t>
            </w:r>
          </w:p>
        </w:tc>
      </w:tr>
      <w:tr w14:paraId="748A5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3FAA4A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527" w:type="pct"/>
            <w:shd w:val="clear" w:color="auto" w:fill="auto"/>
            <w:noWrap w:val="0"/>
            <w:vAlign w:val="center"/>
          </w:tcPr>
          <w:p w14:paraId="7F014B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汾阳市电力公司</w:t>
            </w:r>
          </w:p>
        </w:tc>
        <w:tc>
          <w:tcPr>
            <w:tcW w:w="348" w:type="pct"/>
            <w:noWrap w:val="0"/>
            <w:vAlign w:val="center"/>
          </w:tcPr>
          <w:p w14:paraId="7ED3D9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竹瑞博</w:t>
            </w:r>
          </w:p>
        </w:tc>
        <w:tc>
          <w:tcPr>
            <w:tcW w:w="600" w:type="pct"/>
            <w:noWrap w:val="0"/>
            <w:vAlign w:val="center"/>
          </w:tcPr>
          <w:p w14:paraId="42DC19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lang w:val="en-US" w:eastAsia="zh-CN"/>
              </w:rPr>
              <w:t>0358-7234234</w:t>
            </w:r>
          </w:p>
        </w:tc>
        <w:tc>
          <w:tcPr>
            <w:tcW w:w="486" w:type="pct"/>
            <w:noWrap w:val="0"/>
            <w:vAlign w:val="center"/>
          </w:tcPr>
          <w:p w14:paraId="04D5F6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经理</w:t>
            </w:r>
          </w:p>
        </w:tc>
        <w:tc>
          <w:tcPr>
            <w:tcW w:w="1206" w:type="pct"/>
            <w:noWrap w:val="0"/>
            <w:vAlign w:val="center"/>
          </w:tcPr>
          <w:p w14:paraId="5FFAF6C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保障应急指挥救援正常供电</w:t>
            </w:r>
          </w:p>
        </w:tc>
        <w:tc>
          <w:tcPr>
            <w:tcW w:w="1605" w:type="pct"/>
            <w:noWrap w:val="0"/>
            <w:vAlign w:val="center"/>
          </w:tcPr>
          <w:p w14:paraId="6A931F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保障应急指挥救援正常供电</w:t>
            </w:r>
          </w:p>
        </w:tc>
      </w:tr>
      <w:tr w14:paraId="07742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67EF12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527" w:type="pct"/>
            <w:shd w:val="clear" w:color="auto" w:fill="auto"/>
            <w:noWrap w:val="0"/>
            <w:vAlign w:val="center"/>
          </w:tcPr>
          <w:p w14:paraId="47E734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highlight w:val="none"/>
                <w:lang w:val="en-US" w:eastAsia="zh-CN"/>
              </w:rPr>
              <w:t>汾阳市气象局</w:t>
            </w:r>
          </w:p>
        </w:tc>
        <w:tc>
          <w:tcPr>
            <w:tcW w:w="348" w:type="pct"/>
            <w:noWrap w:val="0"/>
            <w:vAlign w:val="center"/>
          </w:tcPr>
          <w:p w14:paraId="3969FE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王健雄</w:t>
            </w:r>
          </w:p>
        </w:tc>
        <w:tc>
          <w:tcPr>
            <w:tcW w:w="600" w:type="pct"/>
            <w:noWrap w:val="0"/>
            <w:vAlign w:val="center"/>
          </w:tcPr>
          <w:p w14:paraId="29C5C80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lang w:val="en-US" w:eastAsia="zh-CN"/>
              </w:rPr>
              <w:t>0358-7391360</w:t>
            </w:r>
          </w:p>
        </w:tc>
        <w:tc>
          <w:tcPr>
            <w:tcW w:w="486" w:type="pct"/>
            <w:noWrap w:val="0"/>
            <w:vAlign w:val="center"/>
          </w:tcPr>
          <w:p w14:paraId="2D3A032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highlight w:val="none"/>
                <w:lang w:val="en-US" w:eastAsia="zh-CN"/>
              </w:rPr>
              <w:t>局长</w:t>
            </w:r>
          </w:p>
        </w:tc>
        <w:tc>
          <w:tcPr>
            <w:tcW w:w="1206" w:type="pct"/>
            <w:noWrap w:val="0"/>
            <w:vAlign w:val="center"/>
          </w:tcPr>
          <w:p w14:paraId="1D9E09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时上报、通报和发布暴雨、洪水等气象信息</w:t>
            </w:r>
          </w:p>
        </w:tc>
        <w:tc>
          <w:tcPr>
            <w:tcW w:w="1605" w:type="pct"/>
            <w:noWrap w:val="0"/>
            <w:vAlign w:val="center"/>
          </w:tcPr>
          <w:p w14:paraId="29D70A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highlight w:val="none"/>
              </w:rPr>
              <w:t>负责应急期间对事发地的天气开展气象要素的实时监测，及时提供应急事件预警预报所需的气象资料信息、天气预报和气象灾害预报、预警信息等气象信息</w:t>
            </w:r>
          </w:p>
        </w:tc>
      </w:tr>
      <w:tr w14:paraId="2B59C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225" w:type="pct"/>
            <w:vMerge w:val="continue"/>
            <w:noWrap w:val="0"/>
            <w:vAlign w:val="center"/>
          </w:tcPr>
          <w:p w14:paraId="6C3D10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rPr>
            </w:pPr>
            <w:bookmarkStart w:id="31" w:name="_Toc6850"/>
          </w:p>
        </w:tc>
        <w:tc>
          <w:tcPr>
            <w:tcW w:w="1509" w:type="dxa"/>
            <w:shd w:val="clear" w:color="auto" w:fill="auto"/>
            <w:noWrap w:val="0"/>
            <w:vAlign w:val="center"/>
          </w:tcPr>
          <w:p w14:paraId="648500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汾阳市事业服务中心</w:t>
            </w:r>
          </w:p>
        </w:tc>
        <w:tc>
          <w:tcPr>
            <w:tcW w:w="995" w:type="dxa"/>
            <w:noWrap w:val="0"/>
            <w:vAlign w:val="center"/>
          </w:tcPr>
          <w:p w14:paraId="5D6A7A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赵学峰</w:t>
            </w:r>
          </w:p>
        </w:tc>
        <w:tc>
          <w:tcPr>
            <w:tcW w:w="1718" w:type="dxa"/>
            <w:noWrap w:val="0"/>
            <w:vAlign w:val="center"/>
          </w:tcPr>
          <w:p w14:paraId="6257CD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0358-7236879</w:t>
            </w:r>
          </w:p>
        </w:tc>
        <w:tc>
          <w:tcPr>
            <w:tcW w:w="1390" w:type="dxa"/>
            <w:noWrap w:val="0"/>
            <w:vAlign w:val="center"/>
          </w:tcPr>
          <w:p w14:paraId="23282D2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主任</w:t>
            </w:r>
          </w:p>
        </w:tc>
        <w:tc>
          <w:tcPr>
            <w:tcW w:w="3449" w:type="dxa"/>
            <w:noWrap w:val="0"/>
            <w:vAlign w:val="center"/>
          </w:tcPr>
          <w:p w14:paraId="41724D5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rPr>
              <w:t>负责</w:t>
            </w:r>
            <w:r>
              <w:rPr>
                <w:rFonts w:hint="eastAsia" w:cs="Times New Roman"/>
                <w:sz w:val="24"/>
                <w:szCs w:val="24"/>
                <w:lang w:val="en-US" w:eastAsia="zh-CN"/>
              </w:rPr>
              <w:t>配合住房和城乡建设局开展</w:t>
            </w:r>
            <w:r>
              <w:rPr>
                <w:rFonts w:hint="default" w:ascii="Times New Roman" w:hAnsi="Times New Roman" w:eastAsia="仿宋" w:cs="Times New Roman"/>
                <w:sz w:val="24"/>
                <w:szCs w:val="24"/>
              </w:rPr>
              <w:t>水源地应急预案的日常管理，开展预案培训和演练、应急救援队伍建设和能力评估等工作；</w:t>
            </w:r>
          </w:p>
        </w:tc>
        <w:tc>
          <w:tcPr>
            <w:tcW w:w="4590" w:type="dxa"/>
            <w:noWrap w:val="0"/>
            <w:vAlign w:val="center"/>
          </w:tcPr>
          <w:p w14:paraId="0937663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①贯彻执行总指挥、副总指挥的各项指令和要求；</w:t>
            </w:r>
          </w:p>
          <w:p w14:paraId="0D256CB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②负责信息汇总上报，并与有关的外部应急部门、组织和机构进行联络；</w:t>
            </w:r>
          </w:p>
          <w:p w14:paraId="1D2A7A6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③</w:t>
            </w:r>
            <w:r>
              <w:rPr>
                <w:rFonts w:hint="eastAsia" w:cs="Times New Roman"/>
                <w:sz w:val="24"/>
                <w:szCs w:val="24"/>
                <w:lang w:val="en-US" w:eastAsia="zh-CN"/>
              </w:rPr>
              <w:t>配合住房和城乡建设局</w:t>
            </w:r>
            <w:r>
              <w:rPr>
                <w:rFonts w:hint="default" w:ascii="Times New Roman" w:hAnsi="Times New Roman" w:eastAsia="仿宋" w:cs="Times New Roman"/>
                <w:sz w:val="24"/>
                <w:szCs w:val="24"/>
              </w:rPr>
              <w:t>调动应急人员、调配应急资源和联络外部应急组织或机构；</w:t>
            </w:r>
          </w:p>
          <w:p w14:paraId="21380F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rPr>
              <w:t>④</w:t>
            </w:r>
            <w:r>
              <w:rPr>
                <w:rFonts w:hint="eastAsia" w:cs="Times New Roman"/>
                <w:sz w:val="24"/>
                <w:szCs w:val="24"/>
                <w:lang w:val="en-US" w:eastAsia="zh-CN"/>
              </w:rPr>
              <w:t>配合住房和城乡建设局</w:t>
            </w:r>
            <w:r>
              <w:rPr>
                <w:rFonts w:hint="default" w:ascii="Times New Roman" w:hAnsi="Times New Roman" w:eastAsia="仿宋" w:cs="Times New Roman"/>
                <w:sz w:val="24"/>
                <w:szCs w:val="24"/>
              </w:rPr>
              <w:t>收集整理有关事件数据</w:t>
            </w:r>
          </w:p>
        </w:tc>
      </w:tr>
    </w:tbl>
    <w:p w14:paraId="4396E951">
      <w:pPr>
        <w:pStyle w:val="3"/>
        <w:keepNext w:val="0"/>
        <w:keepLines w:val="0"/>
        <w:pageBreakBefore w:val="0"/>
        <w:widowControl w:val="0"/>
        <w:kinsoku/>
        <w:wordWrap/>
        <w:overflowPunct/>
        <w:topLinePunct w:val="0"/>
        <w:autoSpaceDE/>
        <w:autoSpaceDN/>
        <w:bidi w:val="0"/>
        <w:adjustRightInd/>
        <w:snapToGrid/>
        <w:spacing w:after="0" w:line="360" w:lineRule="auto"/>
        <w:ind w:left="0"/>
        <w:jc w:val="left"/>
        <w:textAlignment w:val="auto"/>
        <w:rPr>
          <w:rFonts w:hint="default" w:ascii="Times New Roman" w:hAnsi="Times New Roman" w:eastAsia="仿宋" w:cs="Times New Roman"/>
          <w:b/>
          <w:bCs/>
          <w:sz w:val="28"/>
          <w:szCs w:val="28"/>
        </w:rPr>
        <w:sectPr>
          <w:pgSz w:w="16838" w:h="11905" w:orient="landscape"/>
          <w:pgMar w:top="1803" w:right="1440" w:bottom="1803" w:left="1440"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1A12FF97">
      <w:pPr>
        <w:pStyle w:val="3"/>
        <w:bidi w:val="0"/>
        <w:rPr>
          <w:rFonts w:hint="default"/>
        </w:rPr>
      </w:pPr>
      <w:bookmarkStart w:id="32" w:name="_Toc6568"/>
      <w:r>
        <w:rPr>
          <w:rFonts w:hint="default"/>
        </w:rPr>
        <w:t>3.3 现场应急指挥部</w:t>
      </w:r>
      <w:bookmarkEnd w:id="31"/>
      <w:bookmarkEnd w:id="32"/>
      <w:r>
        <w:rPr>
          <w:rFonts w:hint="default"/>
        </w:rPr>
        <w:t xml:space="preserve"> </w:t>
      </w:r>
    </w:p>
    <w:p w14:paraId="3FE70683">
      <w:pPr>
        <w:bidi w:val="0"/>
        <w:rPr>
          <w:rFonts w:hint="default"/>
        </w:rPr>
      </w:pPr>
      <w:r>
        <w:rPr>
          <w:rFonts w:hint="default"/>
        </w:rPr>
        <w:t>在</w:t>
      </w:r>
      <w:r>
        <w:rPr>
          <w:rFonts w:hint="eastAsia"/>
          <w:lang w:eastAsia="zh-CN"/>
        </w:rPr>
        <w:t>汾阳市10处乡镇集中式饮用水水源地</w:t>
      </w:r>
      <w:r>
        <w:rPr>
          <w:rFonts w:hint="default"/>
        </w:rPr>
        <w:t>突发环境事件发生后，当信息研判和会商判断饮用水水源地水质可能受影响时，</w:t>
      </w:r>
      <w:r>
        <w:rPr>
          <w:rFonts w:hint="eastAsia"/>
          <w:lang w:eastAsia="zh-CN"/>
        </w:rPr>
        <w:t>汾阳市10处乡镇集中式饮用水水源地应急指挥部</w:t>
      </w:r>
      <w:r>
        <w:rPr>
          <w:rFonts w:hint="default"/>
        </w:rPr>
        <w:t>转换为现场应急指挥部，组织协调相关力量，按照预案实施应急状态处置工作。现场指挥部的主要工作职责如下：</w:t>
      </w:r>
    </w:p>
    <w:p w14:paraId="779F9147">
      <w:pPr>
        <w:bidi w:val="0"/>
        <w:rPr>
          <w:rFonts w:hint="default"/>
        </w:rPr>
      </w:pPr>
      <w:r>
        <w:rPr>
          <w:rFonts w:hint="default"/>
        </w:rPr>
        <w:t>（</w:t>
      </w:r>
      <w:r>
        <w:rPr>
          <w:rFonts w:hint="default"/>
          <w:lang w:val="en-US" w:eastAsia="zh-CN"/>
        </w:rPr>
        <w:t>1</w:t>
      </w:r>
      <w:r>
        <w:rPr>
          <w:rFonts w:hint="default"/>
        </w:rPr>
        <w:t>）贯彻国家应急工作方针，根据</w:t>
      </w:r>
      <w:r>
        <w:rPr>
          <w:rFonts w:hint="eastAsia"/>
          <w:lang w:eastAsia="zh-CN"/>
        </w:rPr>
        <w:t>汾阳市人民政府</w:t>
      </w:r>
      <w:r>
        <w:rPr>
          <w:rFonts w:hint="default"/>
        </w:rPr>
        <w:t>应急工作原则和方案，组织</w:t>
      </w:r>
      <w:r>
        <w:rPr>
          <w:rFonts w:hint="eastAsia"/>
          <w:lang w:val="en-US" w:eastAsia="zh-CN"/>
        </w:rPr>
        <w:t>相</w:t>
      </w:r>
      <w:r>
        <w:rPr>
          <w:rFonts w:hint="default"/>
        </w:rPr>
        <w:t xml:space="preserve">关职能部门对事故发生地区进行技术支持和支援； </w:t>
      </w:r>
    </w:p>
    <w:p w14:paraId="26A68950">
      <w:pPr>
        <w:bidi w:val="0"/>
        <w:rPr>
          <w:rFonts w:hint="default"/>
        </w:rPr>
      </w:pPr>
      <w:r>
        <w:rPr>
          <w:rFonts w:hint="default"/>
        </w:rPr>
        <w:t>（</w:t>
      </w:r>
      <w:r>
        <w:rPr>
          <w:rFonts w:hint="default"/>
          <w:lang w:val="en-US" w:eastAsia="zh-CN"/>
        </w:rPr>
        <w:t>2</w:t>
      </w:r>
      <w:r>
        <w:rPr>
          <w:rFonts w:hint="default"/>
        </w:rPr>
        <w:t>）领导和协调</w:t>
      </w:r>
      <w:r>
        <w:rPr>
          <w:rFonts w:hint="eastAsia"/>
          <w:lang w:eastAsia="zh-CN"/>
        </w:rPr>
        <w:t>汾阳市10处乡镇集中式饮用水水源地</w:t>
      </w:r>
      <w:r>
        <w:rPr>
          <w:rFonts w:hint="default"/>
        </w:rPr>
        <w:t xml:space="preserve">突发环境事件应急工作； </w:t>
      </w:r>
    </w:p>
    <w:p w14:paraId="617D04C1">
      <w:pPr>
        <w:bidi w:val="0"/>
        <w:rPr>
          <w:rFonts w:hint="default"/>
        </w:rPr>
      </w:pPr>
      <w:r>
        <w:rPr>
          <w:rFonts w:hint="default"/>
        </w:rPr>
        <w:t>（</w:t>
      </w:r>
      <w:r>
        <w:rPr>
          <w:rFonts w:hint="default"/>
          <w:lang w:val="en-US" w:eastAsia="zh-CN"/>
        </w:rPr>
        <w:t>3</w:t>
      </w:r>
      <w:r>
        <w:rPr>
          <w:rFonts w:hint="default"/>
        </w:rPr>
        <w:t>）及时了解掌握</w:t>
      </w:r>
      <w:r>
        <w:rPr>
          <w:rFonts w:hint="eastAsia"/>
          <w:lang w:eastAsia="zh-CN"/>
        </w:rPr>
        <w:t>汾阳市10处乡镇集中式饮用水水源地</w:t>
      </w:r>
      <w:r>
        <w:rPr>
          <w:rFonts w:hint="default"/>
        </w:rPr>
        <w:t xml:space="preserve">突发环境事件情况，根据情况需要，向应急指挥部报告事故情况和提出应急措施的建议； </w:t>
      </w:r>
    </w:p>
    <w:p w14:paraId="56C0E676">
      <w:pPr>
        <w:bidi w:val="0"/>
        <w:rPr>
          <w:rFonts w:hint="default"/>
        </w:rPr>
      </w:pPr>
      <w:r>
        <w:rPr>
          <w:rFonts w:hint="default"/>
        </w:rPr>
        <w:t>（</w:t>
      </w:r>
      <w:r>
        <w:rPr>
          <w:rFonts w:hint="default"/>
          <w:lang w:val="en-US" w:eastAsia="zh-CN"/>
        </w:rPr>
        <w:t>4</w:t>
      </w:r>
      <w:r>
        <w:rPr>
          <w:rFonts w:hint="default"/>
        </w:rPr>
        <w:t>）组织协调指挥部各职能组按照预案迅速开展抢险救灾工作，力争将损失降到最低程度；</w:t>
      </w:r>
    </w:p>
    <w:p w14:paraId="3E898AF7">
      <w:pPr>
        <w:bidi w:val="0"/>
        <w:rPr>
          <w:rFonts w:hint="default"/>
        </w:rPr>
      </w:pPr>
      <w:r>
        <w:rPr>
          <w:rFonts w:hint="default"/>
        </w:rPr>
        <w:t>（</w:t>
      </w:r>
      <w:r>
        <w:rPr>
          <w:rFonts w:hint="default"/>
          <w:lang w:val="en-US" w:eastAsia="zh-CN"/>
        </w:rPr>
        <w:t>5</w:t>
      </w:r>
      <w:r>
        <w:rPr>
          <w:rFonts w:hint="default"/>
        </w:rPr>
        <w:t>）根据事故发生状态，统一部署抢险预案的实施工作，并对应急工作中发生的争议采取紧急处理措施；</w:t>
      </w:r>
    </w:p>
    <w:p w14:paraId="2AA8CB4F">
      <w:pPr>
        <w:bidi w:val="0"/>
        <w:rPr>
          <w:rFonts w:hint="default"/>
        </w:rPr>
      </w:pPr>
      <w:r>
        <w:rPr>
          <w:rFonts w:hint="default"/>
        </w:rPr>
        <w:t xml:space="preserve">（6）在本行政区域内紧急征用各类物资、设备、人员和占用场地，在事故处理后及时归还或给予补偿。做好稳定社会秩序和伤亡人员的善后和安抚工作； </w:t>
      </w:r>
    </w:p>
    <w:p w14:paraId="2DEBCCBF">
      <w:pPr>
        <w:bidi w:val="0"/>
        <w:rPr>
          <w:rFonts w:hint="default"/>
        </w:rPr>
      </w:pPr>
      <w:r>
        <w:rPr>
          <w:rFonts w:hint="default"/>
        </w:rPr>
        <w:t>（</w:t>
      </w:r>
      <w:r>
        <w:rPr>
          <w:rFonts w:hint="default"/>
          <w:lang w:val="en-US" w:eastAsia="zh-CN"/>
        </w:rPr>
        <w:t>7</w:t>
      </w:r>
      <w:r>
        <w:rPr>
          <w:rFonts w:hint="default"/>
        </w:rPr>
        <w:t xml:space="preserve">）组织事故应急技术研究和应急知识宣传教育等工作； </w:t>
      </w:r>
    </w:p>
    <w:p w14:paraId="47544F45">
      <w:pPr>
        <w:bidi w:val="0"/>
        <w:rPr>
          <w:rFonts w:hint="default"/>
        </w:rPr>
      </w:pPr>
      <w:r>
        <w:rPr>
          <w:rFonts w:hint="default"/>
        </w:rPr>
        <w:t>（</w:t>
      </w:r>
      <w:r>
        <w:rPr>
          <w:rFonts w:hint="default"/>
          <w:lang w:val="en-US" w:eastAsia="zh-CN"/>
        </w:rPr>
        <w:t>8</w:t>
      </w:r>
      <w:r>
        <w:rPr>
          <w:rFonts w:hint="default"/>
        </w:rPr>
        <w:t xml:space="preserve">）负责集中式饮用水源突发环境事件应急信息的接收、核实、处理、传递、通报、报告，及现场新闻报道的指导、审查工作； </w:t>
      </w:r>
    </w:p>
    <w:p w14:paraId="408E181B">
      <w:pPr>
        <w:bidi w:val="0"/>
        <w:rPr>
          <w:rFonts w:hint="default"/>
        </w:rPr>
      </w:pPr>
      <w:r>
        <w:rPr>
          <w:rFonts w:hint="default"/>
        </w:rPr>
        <w:t>（</w:t>
      </w:r>
      <w:r>
        <w:rPr>
          <w:rFonts w:hint="default"/>
          <w:lang w:val="en-US" w:eastAsia="zh-CN"/>
        </w:rPr>
        <w:t>9</w:t>
      </w:r>
      <w:r>
        <w:rPr>
          <w:rFonts w:hint="default"/>
        </w:rPr>
        <w:t>）处理其他有关</w:t>
      </w:r>
      <w:r>
        <w:rPr>
          <w:rFonts w:hint="eastAsia"/>
          <w:lang w:eastAsia="zh-CN"/>
        </w:rPr>
        <w:t>汾阳市10处乡镇集中式饮用水水源地</w:t>
      </w:r>
      <w:r>
        <w:rPr>
          <w:rFonts w:hint="default"/>
        </w:rPr>
        <w:t xml:space="preserve">突发环境事件应急的重要事项； </w:t>
      </w:r>
    </w:p>
    <w:p w14:paraId="6E6BC97C">
      <w:pPr>
        <w:bidi w:val="0"/>
        <w:rPr>
          <w:rFonts w:hint="default"/>
        </w:rPr>
      </w:pPr>
      <w:r>
        <w:rPr>
          <w:rFonts w:hint="default"/>
        </w:rPr>
        <w:t>（</w:t>
      </w:r>
      <w:r>
        <w:rPr>
          <w:rFonts w:hint="default"/>
          <w:lang w:val="en-US" w:eastAsia="zh-CN"/>
        </w:rPr>
        <w:t>10</w:t>
      </w:r>
      <w:r>
        <w:rPr>
          <w:rFonts w:hint="default"/>
        </w:rPr>
        <w:t xml:space="preserve">）如已发生二次危害，立即组织相关部门采取有效措施控制事态发展。 </w:t>
      </w:r>
    </w:p>
    <w:p w14:paraId="17A842D6">
      <w:pPr>
        <w:pStyle w:val="3"/>
        <w:bidi w:val="0"/>
        <w:rPr>
          <w:rFonts w:hint="default"/>
        </w:rPr>
      </w:pPr>
      <w:bookmarkStart w:id="33" w:name="_Toc17016"/>
      <w:bookmarkStart w:id="34" w:name="_Toc9895"/>
      <w:r>
        <w:rPr>
          <w:rFonts w:hint="default"/>
        </w:rPr>
        <w:t>3.4 现场应急工作组</w:t>
      </w:r>
      <w:bookmarkEnd w:id="33"/>
      <w:bookmarkEnd w:id="34"/>
      <w:r>
        <w:rPr>
          <w:rFonts w:hint="default"/>
        </w:rPr>
        <w:t xml:space="preserve"> </w:t>
      </w:r>
    </w:p>
    <w:p w14:paraId="79084DBC">
      <w:pPr>
        <w:bidi w:val="0"/>
        <w:rPr>
          <w:rFonts w:hint="default"/>
        </w:rPr>
      </w:pPr>
      <w:r>
        <w:rPr>
          <w:rFonts w:hint="default"/>
        </w:rPr>
        <w:t xml:space="preserve">现场应急指挥部根据事件类型及工作需要，设立应急处置组、应急监测组、应急供水保障组、应急物资保障组、医疗救治组、事件调查组、综合和应急专家组等。指挥运行机制：应急指挥部根据收集的突发事件信息和现场具体情况进行决策，指挥各应急小组进行应急处置、水质污染监测、居民供水保障、医疗救助、应急物资调用、应急信息发布及后期处置等相关工作。各组牵头单位负责人为各组组长，各组成员单位配合工作。应急指挥部指挥和协调各应急小组行动，小组之间相互联系配合，合理高效地处置突发环境事件。 </w:t>
      </w:r>
    </w:p>
    <w:p w14:paraId="7CF1A986">
      <w:pPr>
        <w:bidi w:val="0"/>
        <w:rPr>
          <w:rFonts w:hint="default" w:ascii="Times New Roman" w:hAnsi="Times New Roman" w:eastAsia="仿宋" w:cs="Times New Roman"/>
          <w:szCs w:val="28"/>
          <w:highlight w:val="none"/>
        </w:rPr>
      </w:pPr>
      <w:r>
        <w:rPr>
          <w:rFonts w:hint="default"/>
        </w:rPr>
        <w:t>工作组设置、组成和职责可根据实际工作需要作适当调整。现场应急工作组职责见</w:t>
      </w:r>
      <w:r>
        <w:rPr>
          <w:rFonts w:hint="eastAsia"/>
          <w:lang w:val="en-US" w:eastAsia="zh-CN"/>
        </w:rPr>
        <w:t>表3-2</w:t>
      </w:r>
      <w:r>
        <w:rPr>
          <w:rFonts w:hint="default"/>
        </w:rPr>
        <w:t>。</w:t>
      </w:r>
    </w:p>
    <w:p w14:paraId="372A0337">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default" w:ascii="Times New Roman" w:hAnsi="Times New Roman" w:eastAsia="仿宋" w:cs="Times New Roman"/>
          <w:sz w:val="28"/>
          <w:szCs w:val="28"/>
          <w:highlight w:val="none"/>
        </w:rPr>
        <w:sectPr>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309F5702">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default"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 xml:space="preserve">表3-2 </w:t>
      </w:r>
      <w:r>
        <w:rPr>
          <w:rFonts w:hint="default" w:ascii="Times New Roman" w:hAnsi="Times New Roman" w:eastAsia="仿宋" w:cs="Times New Roman"/>
          <w:b/>
          <w:bCs/>
          <w:sz w:val="28"/>
          <w:szCs w:val="28"/>
          <w:lang w:val="en-US" w:eastAsia="zh-CN"/>
        </w:rPr>
        <w:t>应急工作组职责表</w:t>
      </w:r>
    </w:p>
    <w:tbl>
      <w:tblPr>
        <w:tblStyle w:val="26"/>
        <w:tblW w:w="14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31" w:type="dxa"/>
        </w:tblCellMar>
      </w:tblPr>
      <w:tblGrid>
        <w:gridCol w:w="1693"/>
        <w:gridCol w:w="1"/>
        <w:gridCol w:w="1258"/>
        <w:gridCol w:w="4646"/>
        <w:gridCol w:w="6452"/>
        <w:gridCol w:w="1"/>
      </w:tblGrid>
      <w:tr w14:paraId="08955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31" w:type="dxa"/>
          </w:tblCellMar>
        </w:tblPrEx>
        <w:trPr>
          <w:trHeight w:val="57" w:hRule="atLeast"/>
          <w:jc w:val="center"/>
        </w:trPr>
        <w:tc>
          <w:tcPr>
            <w:tcW w:w="7598" w:type="dxa"/>
            <w:gridSpan w:val="4"/>
            <w:vAlign w:val="center"/>
          </w:tcPr>
          <w:p w14:paraId="205126C8">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b/>
                <w:bCs/>
                <w:sz w:val="24"/>
                <w:szCs w:val="24"/>
                <w:highlight w:val="none"/>
                <w:lang w:val="en-US" w:eastAsia="zh-CN"/>
              </w:rPr>
            </w:pPr>
            <w:r>
              <w:rPr>
                <w:rFonts w:hint="default" w:ascii="Times New Roman" w:hAnsi="Times New Roman" w:eastAsia="仿宋" w:cs="Times New Roman"/>
                <w:b/>
                <w:bCs/>
                <w:sz w:val="24"/>
                <w:szCs w:val="24"/>
                <w:highlight w:val="none"/>
                <w:lang w:val="en-US" w:eastAsia="zh-CN"/>
              </w:rPr>
              <w:t>应急工作组组成</w:t>
            </w:r>
          </w:p>
        </w:tc>
        <w:tc>
          <w:tcPr>
            <w:tcW w:w="6453" w:type="dxa"/>
            <w:gridSpan w:val="2"/>
            <w:vAlign w:val="center"/>
          </w:tcPr>
          <w:p w14:paraId="603F592F">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b/>
                <w:bCs/>
                <w:sz w:val="24"/>
                <w:szCs w:val="24"/>
                <w:highlight w:val="none"/>
                <w:lang w:val="en-US" w:eastAsia="zh-CN"/>
              </w:rPr>
            </w:pPr>
            <w:r>
              <w:rPr>
                <w:rFonts w:hint="default" w:ascii="Times New Roman" w:hAnsi="Times New Roman" w:eastAsia="仿宋" w:cs="Times New Roman"/>
                <w:b/>
                <w:bCs/>
                <w:sz w:val="24"/>
                <w:szCs w:val="24"/>
                <w:highlight w:val="none"/>
                <w:lang w:val="en-US" w:eastAsia="zh-CN"/>
              </w:rPr>
              <w:t>应急职责</w:t>
            </w:r>
          </w:p>
        </w:tc>
      </w:tr>
      <w:tr w14:paraId="4F773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31" w:type="dxa"/>
          </w:tblCellMar>
        </w:tblPrEx>
        <w:trPr>
          <w:trHeight w:val="57" w:hRule="atLeast"/>
          <w:jc w:val="center"/>
        </w:trPr>
        <w:tc>
          <w:tcPr>
            <w:tcW w:w="1693" w:type="dxa"/>
            <w:vMerge w:val="restart"/>
            <w:vAlign w:val="center"/>
          </w:tcPr>
          <w:p w14:paraId="3964540D">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应急处置组</w:t>
            </w:r>
          </w:p>
        </w:tc>
        <w:tc>
          <w:tcPr>
            <w:tcW w:w="1259" w:type="dxa"/>
            <w:gridSpan w:val="2"/>
            <w:vAlign w:val="center"/>
          </w:tcPr>
          <w:p w14:paraId="56C4D3A7">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牵头单位</w:t>
            </w:r>
          </w:p>
        </w:tc>
        <w:tc>
          <w:tcPr>
            <w:tcW w:w="4646" w:type="dxa"/>
            <w:vAlign w:val="center"/>
          </w:tcPr>
          <w:p w14:paraId="1F6E0249">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cs="Times New Roman"/>
                <w:sz w:val="24"/>
                <w:szCs w:val="24"/>
                <w:highlight w:val="none"/>
                <w:lang w:val="en-US" w:eastAsia="zh-CN"/>
              </w:rPr>
              <w:t>各</w:t>
            </w:r>
            <w:r>
              <w:rPr>
                <w:rFonts w:hint="default" w:ascii="Times New Roman" w:hAnsi="Times New Roman" w:eastAsia="仿宋" w:cs="Times New Roman"/>
                <w:sz w:val="24"/>
                <w:szCs w:val="24"/>
                <w:highlight w:val="none"/>
                <w:lang w:val="en-US" w:eastAsia="zh-CN"/>
              </w:rPr>
              <w:t>乡镇人民政府</w:t>
            </w:r>
          </w:p>
        </w:tc>
        <w:tc>
          <w:tcPr>
            <w:tcW w:w="6453" w:type="dxa"/>
            <w:gridSpan w:val="2"/>
            <w:vMerge w:val="restart"/>
            <w:vAlign w:val="center"/>
          </w:tcPr>
          <w:p w14:paraId="4E962032">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zh-CN" w:eastAsia="zh-CN"/>
              </w:rPr>
              <w:t>（1）</w:t>
            </w:r>
            <w:r>
              <w:rPr>
                <w:rFonts w:hint="default" w:ascii="Times New Roman" w:hAnsi="Times New Roman" w:eastAsia="仿宋" w:cs="Times New Roman"/>
                <w:sz w:val="24"/>
                <w:szCs w:val="24"/>
                <w:highlight w:val="none"/>
                <w:lang w:val="en-US" w:eastAsia="zh-CN"/>
              </w:rPr>
              <w:t>制定应急处置方案；</w:t>
            </w:r>
          </w:p>
          <w:p w14:paraId="4F61431E">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zh-CN" w:eastAsia="zh-CN"/>
              </w:rPr>
              <w:t>（2）</w:t>
            </w:r>
            <w:r>
              <w:rPr>
                <w:rFonts w:hint="default" w:ascii="Times New Roman" w:hAnsi="Times New Roman" w:eastAsia="仿宋" w:cs="Times New Roman"/>
                <w:sz w:val="24"/>
                <w:szCs w:val="24"/>
                <w:highlight w:val="none"/>
                <w:lang w:val="en-US" w:eastAsia="zh-CN"/>
              </w:rPr>
              <w:t>负责现场污染物消除、围堵和削减，以及污染物收集、转运和异地处置等工作。</w:t>
            </w:r>
          </w:p>
        </w:tc>
      </w:tr>
      <w:tr w14:paraId="03B6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31" w:type="dxa"/>
          </w:tblCellMar>
        </w:tblPrEx>
        <w:trPr>
          <w:trHeight w:val="57" w:hRule="atLeast"/>
          <w:jc w:val="center"/>
        </w:trPr>
        <w:tc>
          <w:tcPr>
            <w:tcW w:w="1693" w:type="dxa"/>
            <w:vMerge w:val="continue"/>
            <w:vAlign w:val="center"/>
          </w:tcPr>
          <w:p w14:paraId="5630C589">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p>
        </w:tc>
        <w:tc>
          <w:tcPr>
            <w:tcW w:w="1259" w:type="dxa"/>
            <w:gridSpan w:val="2"/>
            <w:vAlign w:val="center"/>
          </w:tcPr>
          <w:p w14:paraId="47E1A0C6">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成员单位</w:t>
            </w:r>
          </w:p>
        </w:tc>
        <w:tc>
          <w:tcPr>
            <w:tcW w:w="4646" w:type="dxa"/>
            <w:vAlign w:val="center"/>
          </w:tcPr>
          <w:p w14:paraId="16B0C5CE">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应急管理局、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农业农村局、</w:t>
            </w:r>
            <w:r>
              <w:rPr>
                <w:rFonts w:hint="eastAsia" w:cs="Times New Roman"/>
                <w:sz w:val="24"/>
                <w:szCs w:val="24"/>
                <w:highlight w:val="none"/>
                <w:lang w:val="en-US" w:eastAsia="zh-CN"/>
              </w:rPr>
              <w:t>汾阳市自然资源局</w:t>
            </w:r>
            <w:r>
              <w:rPr>
                <w:rFonts w:hint="default" w:ascii="Times New Roman" w:hAnsi="Times New Roman" w:eastAsia="仿宋" w:cs="Times New Roman"/>
                <w:sz w:val="24"/>
                <w:szCs w:val="24"/>
                <w:highlight w:val="none"/>
                <w:lang w:val="en-US" w:eastAsia="zh-CN"/>
              </w:rPr>
              <w:t>、</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公安局、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城乡建设</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交通运输局、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消防救援大队、市生态环境局</w:t>
            </w:r>
            <w:r>
              <w:rPr>
                <w:rFonts w:hint="eastAsia" w:ascii="Times New Roman" w:hAnsi="Times New Roman" w:eastAsia="仿宋" w:cs="Times New Roman"/>
                <w:sz w:val="24"/>
                <w:szCs w:val="24"/>
                <w:highlight w:val="none"/>
                <w:lang w:val="en-US" w:eastAsia="zh-CN"/>
              </w:rPr>
              <w:t>汾阳</w:t>
            </w:r>
            <w:r>
              <w:rPr>
                <w:rFonts w:hint="default" w:ascii="Times New Roman" w:hAnsi="Times New Roman" w:eastAsia="仿宋" w:cs="Times New Roman"/>
                <w:sz w:val="24"/>
                <w:szCs w:val="24"/>
                <w:highlight w:val="none"/>
                <w:lang w:val="en-US" w:eastAsia="zh-CN"/>
              </w:rPr>
              <w:t>分局。</w:t>
            </w:r>
          </w:p>
        </w:tc>
        <w:tc>
          <w:tcPr>
            <w:tcW w:w="6453" w:type="dxa"/>
            <w:gridSpan w:val="2"/>
            <w:vMerge w:val="continue"/>
            <w:vAlign w:val="center"/>
          </w:tcPr>
          <w:p w14:paraId="1AC19CE8">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p>
        </w:tc>
      </w:tr>
      <w:tr w14:paraId="32DBD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31" w:type="dxa"/>
          </w:tblCellMar>
        </w:tblPrEx>
        <w:trPr>
          <w:trHeight w:val="57" w:hRule="atLeast"/>
          <w:jc w:val="center"/>
        </w:trPr>
        <w:tc>
          <w:tcPr>
            <w:tcW w:w="1693" w:type="dxa"/>
            <w:vMerge w:val="restart"/>
            <w:vAlign w:val="center"/>
          </w:tcPr>
          <w:p w14:paraId="2E855060">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应急监测组</w:t>
            </w:r>
          </w:p>
        </w:tc>
        <w:tc>
          <w:tcPr>
            <w:tcW w:w="1259" w:type="dxa"/>
            <w:gridSpan w:val="2"/>
            <w:vAlign w:val="center"/>
          </w:tcPr>
          <w:p w14:paraId="66894CAD">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牵头单位</w:t>
            </w:r>
          </w:p>
        </w:tc>
        <w:tc>
          <w:tcPr>
            <w:tcW w:w="4646" w:type="dxa"/>
            <w:vAlign w:val="center"/>
          </w:tcPr>
          <w:p w14:paraId="71457057">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市</w:t>
            </w:r>
            <w:r>
              <w:rPr>
                <w:rFonts w:hint="eastAsia" w:cs="Times New Roman"/>
                <w:sz w:val="24"/>
                <w:szCs w:val="24"/>
                <w:highlight w:val="none"/>
                <w:lang w:val="en-US" w:eastAsia="zh-CN"/>
              </w:rPr>
              <w:t>各</w:t>
            </w:r>
            <w:r>
              <w:rPr>
                <w:rFonts w:hint="default" w:ascii="Times New Roman" w:hAnsi="Times New Roman" w:eastAsia="仿宋" w:cs="Times New Roman"/>
                <w:sz w:val="24"/>
                <w:szCs w:val="24"/>
                <w:highlight w:val="none"/>
                <w:lang w:val="en-US" w:eastAsia="zh-CN"/>
              </w:rPr>
              <w:t>乡镇人民政府。</w:t>
            </w:r>
          </w:p>
        </w:tc>
        <w:tc>
          <w:tcPr>
            <w:tcW w:w="6453" w:type="dxa"/>
            <w:gridSpan w:val="2"/>
            <w:vMerge w:val="restart"/>
            <w:vAlign w:val="center"/>
          </w:tcPr>
          <w:p w14:paraId="2496F322">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zh-CN" w:eastAsia="zh-CN"/>
              </w:rPr>
              <w:t>（1）</w:t>
            </w:r>
            <w:r>
              <w:rPr>
                <w:rFonts w:hint="default" w:ascii="Times New Roman" w:hAnsi="Times New Roman" w:eastAsia="仿宋" w:cs="Times New Roman"/>
                <w:sz w:val="24"/>
                <w:szCs w:val="24"/>
                <w:highlight w:val="none"/>
                <w:lang w:val="en-US" w:eastAsia="zh-CN"/>
              </w:rPr>
              <w:t>负责制定应急监测方案；</w:t>
            </w:r>
          </w:p>
          <w:p w14:paraId="25D150F7">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zh-CN" w:eastAsia="zh-CN"/>
              </w:rPr>
              <w:t>（2）</w:t>
            </w:r>
            <w:r>
              <w:rPr>
                <w:rFonts w:hint="default" w:ascii="Times New Roman" w:hAnsi="Times New Roman" w:eastAsia="仿宋" w:cs="Times New Roman"/>
                <w:sz w:val="24"/>
                <w:szCs w:val="24"/>
                <w:highlight w:val="none"/>
                <w:lang w:val="en-US" w:eastAsia="zh-CN"/>
              </w:rPr>
              <w:t>负责在污染带上游、下游分别设置断面进行应急监测；</w:t>
            </w:r>
          </w:p>
          <w:p w14:paraId="1F0A965D">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zh-CN" w:eastAsia="zh-CN"/>
              </w:rPr>
              <w:t>（3）</w:t>
            </w:r>
            <w:r>
              <w:rPr>
                <w:rFonts w:hint="default" w:ascii="Times New Roman" w:hAnsi="Times New Roman" w:eastAsia="仿宋" w:cs="Times New Roman"/>
                <w:sz w:val="24"/>
                <w:szCs w:val="24"/>
                <w:highlight w:val="none"/>
                <w:lang w:val="en-US" w:eastAsia="zh-CN"/>
              </w:rPr>
              <w:t>负责应急期间的水源地、水厂和管网末梢水的水质监测；</w:t>
            </w:r>
          </w:p>
          <w:p w14:paraId="53354D7B">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zh-CN" w:eastAsia="zh-CN"/>
              </w:rPr>
              <w:t>（4）</w:t>
            </w:r>
            <w:r>
              <w:rPr>
                <w:rFonts w:hint="default" w:ascii="Times New Roman" w:hAnsi="Times New Roman" w:eastAsia="仿宋" w:cs="Times New Roman"/>
                <w:sz w:val="24"/>
                <w:szCs w:val="24"/>
                <w:highlight w:val="none"/>
                <w:lang w:val="en-US" w:eastAsia="zh-CN"/>
              </w:rPr>
              <w:t>负责水源地周边气象条件监测。</w:t>
            </w:r>
          </w:p>
        </w:tc>
      </w:tr>
      <w:tr w14:paraId="5EF60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31" w:type="dxa"/>
          </w:tblCellMar>
        </w:tblPrEx>
        <w:trPr>
          <w:trHeight w:val="57" w:hRule="atLeast"/>
          <w:jc w:val="center"/>
        </w:trPr>
        <w:tc>
          <w:tcPr>
            <w:tcW w:w="1693" w:type="dxa"/>
            <w:vMerge w:val="continue"/>
            <w:vAlign w:val="center"/>
          </w:tcPr>
          <w:p w14:paraId="4DA046BA">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p>
        </w:tc>
        <w:tc>
          <w:tcPr>
            <w:tcW w:w="1259" w:type="dxa"/>
            <w:gridSpan w:val="2"/>
            <w:vAlign w:val="center"/>
          </w:tcPr>
          <w:p w14:paraId="62E94111">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成员单位</w:t>
            </w:r>
          </w:p>
        </w:tc>
        <w:tc>
          <w:tcPr>
            <w:tcW w:w="4646" w:type="dxa"/>
            <w:vAlign w:val="center"/>
          </w:tcPr>
          <w:p w14:paraId="7A9B634D">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应急管理局、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农业农村</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水利局、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城乡建设</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交通运输局、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卫生健康局、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气象局</w:t>
            </w:r>
            <w:r>
              <w:rPr>
                <w:rFonts w:hint="eastAsia" w:cs="Times New Roman"/>
                <w:sz w:val="24"/>
                <w:szCs w:val="24"/>
                <w:highlight w:val="none"/>
                <w:lang w:val="en-US" w:eastAsia="zh-CN"/>
              </w:rPr>
              <w:t>、</w:t>
            </w:r>
            <w:r>
              <w:rPr>
                <w:rFonts w:hint="default" w:ascii="Times New Roman" w:hAnsi="Times New Roman" w:eastAsia="仿宋" w:cs="Times New Roman"/>
                <w:sz w:val="24"/>
                <w:szCs w:val="24"/>
                <w:highlight w:val="none"/>
                <w:lang w:val="en-US" w:eastAsia="zh-CN"/>
              </w:rPr>
              <w:t>市生态环境局</w:t>
            </w:r>
            <w:r>
              <w:rPr>
                <w:rFonts w:hint="eastAsia" w:ascii="Times New Roman" w:hAnsi="Times New Roman" w:eastAsia="仿宋" w:cs="Times New Roman"/>
                <w:sz w:val="24"/>
                <w:szCs w:val="24"/>
                <w:highlight w:val="none"/>
                <w:lang w:val="en-US" w:eastAsia="zh-CN"/>
              </w:rPr>
              <w:t>汾阳</w:t>
            </w:r>
            <w:r>
              <w:rPr>
                <w:rFonts w:hint="default" w:ascii="Times New Roman" w:hAnsi="Times New Roman" w:eastAsia="仿宋" w:cs="Times New Roman"/>
                <w:sz w:val="24"/>
                <w:szCs w:val="24"/>
                <w:highlight w:val="none"/>
                <w:lang w:val="en-US" w:eastAsia="zh-CN"/>
              </w:rPr>
              <w:t>分局。</w:t>
            </w:r>
          </w:p>
        </w:tc>
        <w:tc>
          <w:tcPr>
            <w:tcW w:w="6453" w:type="dxa"/>
            <w:gridSpan w:val="2"/>
            <w:vMerge w:val="continue"/>
            <w:vAlign w:val="center"/>
          </w:tcPr>
          <w:p w14:paraId="5FADAE56">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p>
        </w:tc>
      </w:tr>
      <w:tr w14:paraId="2D5C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31" w:type="dxa"/>
          </w:tblCellMar>
        </w:tblPrEx>
        <w:trPr>
          <w:trHeight w:val="57" w:hRule="atLeast"/>
          <w:jc w:val="center"/>
        </w:trPr>
        <w:tc>
          <w:tcPr>
            <w:tcW w:w="1693" w:type="dxa"/>
            <w:vMerge w:val="restart"/>
            <w:vAlign w:val="center"/>
          </w:tcPr>
          <w:p w14:paraId="3161D14D">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应急供水保障组</w:t>
            </w:r>
          </w:p>
        </w:tc>
        <w:tc>
          <w:tcPr>
            <w:tcW w:w="1259" w:type="dxa"/>
            <w:gridSpan w:val="2"/>
            <w:vAlign w:val="center"/>
          </w:tcPr>
          <w:p w14:paraId="2FA425E6">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牵头单位</w:t>
            </w:r>
          </w:p>
        </w:tc>
        <w:tc>
          <w:tcPr>
            <w:tcW w:w="4646" w:type="dxa"/>
            <w:vAlign w:val="center"/>
          </w:tcPr>
          <w:p w14:paraId="68D5665B">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农业农村</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水利局、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城乡建设和交通运输局。</w:t>
            </w:r>
          </w:p>
        </w:tc>
        <w:tc>
          <w:tcPr>
            <w:tcW w:w="6453" w:type="dxa"/>
            <w:gridSpan w:val="2"/>
            <w:vMerge w:val="restart"/>
            <w:vAlign w:val="center"/>
          </w:tcPr>
          <w:p w14:paraId="2014F848">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制定应急供水保障方案，指导供水单位启动深度处理设施或</w:t>
            </w:r>
            <w:r>
              <w:rPr>
                <w:rFonts w:hint="eastAsia" w:cs="Times New Roman"/>
                <w:sz w:val="24"/>
                <w:szCs w:val="24"/>
                <w:highlight w:val="none"/>
                <w:lang w:val="en-US" w:eastAsia="zh-CN"/>
              </w:rPr>
              <w:t>启用</w:t>
            </w:r>
            <w:r>
              <w:rPr>
                <w:rFonts w:hint="default" w:ascii="Times New Roman" w:hAnsi="Times New Roman" w:eastAsia="仿宋" w:cs="Times New Roman"/>
                <w:sz w:val="24"/>
                <w:szCs w:val="24"/>
                <w:highlight w:val="none"/>
                <w:lang w:val="en-US" w:eastAsia="zh-CN"/>
              </w:rPr>
              <w:t>备用</w:t>
            </w:r>
            <w:r>
              <w:rPr>
                <w:rFonts w:hint="eastAsia" w:cs="Times New Roman"/>
                <w:sz w:val="24"/>
                <w:szCs w:val="24"/>
                <w:highlight w:val="none"/>
                <w:lang w:val="en-US" w:eastAsia="zh-CN"/>
              </w:rPr>
              <w:t>水源及调配应急供水车</w:t>
            </w:r>
            <w:r>
              <w:rPr>
                <w:rFonts w:hint="default" w:ascii="Times New Roman" w:hAnsi="Times New Roman" w:eastAsia="仿宋" w:cs="Times New Roman"/>
                <w:sz w:val="24"/>
                <w:szCs w:val="24"/>
                <w:highlight w:val="none"/>
                <w:lang w:val="en-US" w:eastAsia="zh-CN"/>
              </w:rPr>
              <w:t>等</w:t>
            </w:r>
            <w:r>
              <w:rPr>
                <w:rFonts w:hint="eastAsia" w:cs="Times New Roman"/>
                <w:sz w:val="24"/>
                <w:szCs w:val="24"/>
                <w:highlight w:val="none"/>
                <w:lang w:val="en-US" w:eastAsia="zh-CN"/>
              </w:rPr>
              <w:t>保障</w:t>
            </w:r>
            <w:r>
              <w:rPr>
                <w:rFonts w:hint="default" w:ascii="Times New Roman" w:hAnsi="Times New Roman" w:eastAsia="仿宋" w:cs="Times New Roman"/>
                <w:sz w:val="24"/>
                <w:szCs w:val="24"/>
                <w:highlight w:val="none"/>
                <w:lang w:val="en-US" w:eastAsia="zh-CN"/>
              </w:rPr>
              <w:t>措施，保障居民用水。</w:t>
            </w:r>
          </w:p>
        </w:tc>
      </w:tr>
      <w:tr w14:paraId="4705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31" w:type="dxa"/>
          </w:tblCellMar>
        </w:tblPrEx>
        <w:trPr>
          <w:trHeight w:val="57" w:hRule="atLeast"/>
          <w:jc w:val="center"/>
        </w:trPr>
        <w:tc>
          <w:tcPr>
            <w:tcW w:w="1693" w:type="dxa"/>
            <w:vMerge w:val="continue"/>
            <w:vAlign w:val="center"/>
          </w:tcPr>
          <w:p w14:paraId="1D276DBA">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p>
        </w:tc>
        <w:tc>
          <w:tcPr>
            <w:tcW w:w="1259" w:type="dxa"/>
            <w:gridSpan w:val="2"/>
            <w:vAlign w:val="center"/>
          </w:tcPr>
          <w:p w14:paraId="5A3AF6DE">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成员单位</w:t>
            </w:r>
          </w:p>
        </w:tc>
        <w:tc>
          <w:tcPr>
            <w:tcW w:w="4646" w:type="dxa"/>
            <w:vAlign w:val="center"/>
          </w:tcPr>
          <w:p w14:paraId="7E711FC9">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应急管理局、市生态环境局</w:t>
            </w:r>
            <w:r>
              <w:rPr>
                <w:rFonts w:hint="eastAsia" w:ascii="Times New Roman" w:hAnsi="Times New Roman" w:eastAsia="仿宋" w:cs="Times New Roman"/>
                <w:sz w:val="24"/>
                <w:szCs w:val="24"/>
                <w:highlight w:val="none"/>
                <w:lang w:val="en-US" w:eastAsia="zh-CN"/>
              </w:rPr>
              <w:t>汾阳</w:t>
            </w:r>
            <w:r>
              <w:rPr>
                <w:rFonts w:hint="default" w:ascii="Times New Roman" w:hAnsi="Times New Roman" w:eastAsia="仿宋" w:cs="Times New Roman"/>
                <w:sz w:val="24"/>
                <w:szCs w:val="24"/>
                <w:highlight w:val="none"/>
                <w:lang w:val="en-US" w:eastAsia="zh-CN"/>
              </w:rPr>
              <w:t>分局、乡镇人民政府。</w:t>
            </w:r>
          </w:p>
        </w:tc>
        <w:tc>
          <w:tcPr>
            <w:tcW w:w="6453" w:type="dxa"/>
            <w:gridSpan w:val="2"/>
            <w:vMerge w:val="continue"/>
            <w:vAlign w:val="center"/>
          </w:tcPr>
          <w:p w14:paraId="01D5BA27">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p>
        </w:tc>
      </w:tr>
      <w:tr w14:paraId="2BB1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31" w:type="dxa"/>
          </w:tblCellMar>
        </w:tblPrEx>
        <w:trPr>
          <w:trHeight w:val="57" w:hRule="atLeast"/>
          <w:jc w:val="center"/>
        </w:trPr>
        <w:tc>
          <w:tcPr>
            <w:tcW w:w="1693" w:type="dxa"/>
            <w:vMerge w:val="restart"/>
            <w:vAlign w:val="center"/>
          </w:tcPr>
          <w:p w14:paraId="0A33B38A">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应急物资保障组</w:t>
            </w:r>
          </w:p>
        </w:tc>
        <w:tc>
          <w:tcPr>
            <w:tcW w:w="1259" w:type="dxa"/>
            <w:gridSpan w:val="2"/>
            <w:vAlign w:val="center"/>
          </w:tcPr>
          <w:p w14:paraId="6705BED5">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牵头单位</w:t>
            </w:r>
          </w:p>
        </w:tc>
        <w:tc>
          <w:tcPr>
            <w:tcW w:w="4646" w:type="dxa"/>
            <w:vAlign w:val="center"/>
          </w:tcPr>
          <w:p w14:paraId="34484EE3">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各乡镇人民政府</w:t>
            </w:r>
          </w:p>
        </w:tc>
        <w:tc>
          <w:tcPr>
            <w:tcW w:w="6453" w:type="dxa"/>
            <w:gridSpan w:val="2"/>
            <w:vMerge w:val="restart"/>
            <w:vAlign w:val="center"/>
          </w:tcPr>
          <w:p w14:paraId="57219FF8">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制定应急物资保障方案；负责调配应急物资、协调运输车辆；负责协调补偿征用物资、应急救援和污染物处置等费</w:t>
            </w:r>
          </w:p>
        </w:tc>
      </w:tr>
      <w:tr w14:paraId="0690A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31" w:type="dxa"/>
          </w:tblCellMar>
        </w:tblPrEx>
        <w:trPr>
          <w:trHeight w:val="57" w:hRule="atLeast"/>
          <w:jc w:val="center"/>
        </w:trPr>
        <w:tc>
          <w:tcPr>
            <w:tcW w:w="1693" w:type="dxa"/>
            <w:vMerge w:val="continue"/>
            <w:vAlign w:val="center"/>
          </w:tcPr>
          <w:p w14:paraId="255E1C74">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p>
        </w:tc>
        <w:tc>
          <w:tcPr>
            <w:tcW w:w="1259" w:type="dxa"/>
            <w:gridSpan w:val="2"/>
            <w:vAlign w:val="center"/>
          </w:tcPr>
          <w:p w14:paraId="2D18BB98">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成员单位</w:t>
            </w:r>
          </w:p>
        </w:tc>
        <w:tc>
          <w:tcPr>
            <w:tcW w:w="4646" w:type="dxa"/>
            <w:vAlign w:val="center"/>
          </w:tcPr>
          <w:p w14:paraId="387808CE">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发改工信和科技商务局、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城乡建设和交通运输局、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公安局、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财政局、</w:t>
            </w:r>
            <w:r>
              <w:rPr>
                <w:rFonts w:hint="eastAsia" w:ascii="Times New Roman" w:hAnsi="Times New Roman" w:eastAsia="仿宋" w:cs="Times New Roman"/>
                <w:sz w:val="24"/>
                <w:szCs w:val="24"/>
                <w:highlight w:val="none"/>
                <w:lang w:val="en-US" w:eastAsia="zh-CN"/>
              </w:rPr>
              <w:t>汾阳</w:t>
            </w:r>
            <w:r>
              <w:rPr>
                <w:rFonts w:hint="default" w:ascii="Times New Roman" w:hAnsi="Times New Roman" w:eastAsia="仿宋" w:cs="Times New Roman"/>
                <w:sz w:val="24"/>
                <w:szCs w:val="24"/>
                <w:highlight w:val="none"/>
                <w:lang w:val="en-US" w:eastAsia="zh-CN"/>
              </w:rPr>
              <w:t>经济技术开发区管理委员会、</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自来水公司</w:t>
            </w:r>
            <w:r>
              <w:rPr>
                <w:rFonts w:hint="eastAsia" w:cs="Times New Roman"/>
                <w:sz w:val="24"/>
                <w:szCs w:val="24"/>
                <w:highlight w:val="none"/>
                <w:lang w:val="en-US" w:eastAsia="zh-CN"/>
              </w:rPr>
              <w:t>；</w:t>
            </w:r>
          </w:p>
        </w:tc>
        <w:tc>
          <w:tcPr>
            <w:tcW w:w="6453" w:type="dxa"/>
            <w:gridSpan w:val="2"/>
            <w:vMerge w:val="continue"/>
            <w:vAlign w:val="center"/>
          </w:tcPr>
          <w:p w14:paraId="473D6795">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p>
        </w:tc>
      </w:tr>
      <w:tr w14:paraId="021FD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31" w:type="dxa"/>
          </w:tblCellMar>
        </w:tblPrEx>
        <w:trPr>
          <w:trHeight w:val="57" w:hRule="atLeast"/>
          <w:jc w:val="center"/>
        </w:trPr>
        <w:tc>
          <w:tcPr>
            <w:tcW w:w="1693" w:type="dxa"/>
            <w:vMerge w:val="restart"/>
            <w:vAlign w:val="center"/>
          </w:tcPr>
          <w:p w14:paraId="759B5E78">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医疗救治组</w:t>
            </w:r>
          </w:p>
        </w:tc>
        <w:tc>
          <w:tcPr>
            <w:tcW w:w="1259" w:type="dxa"/>
            <w:gridSpan w:val="2"/>
            <w:vAlign w:val="center"/>
          </w:tcPr>
          <w:p w14:paraId="7AC31C73">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牵头单位</w:t>
            </w:r>
          </w:p>
        </w:tc>
        <w:tc>
          <w:tcPr>
            <w:tcW w:w="4646" w:type="dxa"/>
            <w:vAlign w:val="center"/>
          </w:tcPr>
          <w:p w14:paraId="7FE25BCF">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卫生健康局</w:t>
            </w:r>
            <w:r>
              <w:rPr>
                <w:rFonts w:hint="eastAsia" w:cs="Times New Roman"/>
                <w:sz w:val="24"/>
                <w:szCs w:val="24"/>
                <w:highlight w:val="none"/>
                <w:lang w:val="en-US" w:eastAsia="zh-CN"/>
              </w:rPr>
              <w:t>、</w:t>
            </w:r>
            <w:r>
              <w:rPr>
                <w:rFonts w:hint="default" w:ascii="Times New Roman" w:hAnsi="Times New Roman" w:eastAsia="仿宋" w:cs="Times New Roman"/>
                <w:sz w:val="24"/>
                <w:szCs w:val="24"/>
                <w:highlight w:val="none"/>
                <w:lang w:val="en-US" w:eastAsia="zh-CN"/>
              </w:rPr>
              <w:t>各乡镇人民政府。</w:t>
            </w:r>
          </w:p>
        </w:tc>
        <w:tc>
          <w:tcPr>
            <w:tcW w:w="6453" w:type="dxa"/>
            <w:gridSpan w:val="2"/>
            <w:vMerge w:val="restart"/>
            <w:vAlign w:val="center"/>
          </w:tcPr>
          <w:p w14:paraId="54A53013">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（1）负责救治伤员；</w:t>
            </w:r>
          </w:p>
          <w:p w14:paraId="18E2B520">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（2）负责事故现场的卫生防疫和监督工作；</w:t>
            </w:r>
          </w:p>
          <w:p w14:paraId="4A9A132C">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（3）及时向应急指挥部报告人员伤亡等情况。</w:t>
            </w:r>
          </w:p>
        </w:tc>
      </w:tr>
      <w:tr w14:paraId="682BD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31" w:type="dxa"/>
          </w:tblCellMar>
        </w:tblPrEx>
        <w:trPr>
          <w:trHeight w:val="57" w:hRule="atLeast"/>
          <w:jc w:val="center"/>
        </w:trPr>
        <w:tc>
          <w:tcPr>
            <w:tcW w:w="1693" w:type="dxa"/>
            <w:vMerge w:val="continue"/>
            <w:vAlign w:val="center"/>
          </w:tcPr>
          <w:p w14:paraId="173C3371">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p>
        </w:tc>
        <w:tc>
          <w:tcPr>
            <w:tcW w:w="1" w:type="dxa"/>
            <w:vAlign w:val="center"/>
          </w:tcPr>
          <w:p w14:paraId="5B2E84C2">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p>
        </w:tc>
        <w:tc>
          <w:tcPr>
            <w:tcW w:w="1258" w:type="dxa"/>
            <w:vAlign w:val="center"/>
          </w:tcPr>
          <w:p w14:paraId="12347FE7">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成员单位</w:t>
            </w:r>
          </w:p>
        </w:tc>
        <w:tc>
          <w:tcPr>
            <w:tcW w:w="4646" w:type="dxa"/>
            <w:vAlign w:val="center"/>
          </w:tcPr>
          <w:p w14:paraId="0F806D69">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公安局、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消防救援大队。</w:t>
            </w:r>
          </w:p>
        </w:tc>
        <w:tc>
          <w:tcPr>
            <w:tcW w:w="6453" w:type="dxa"/>
            <w:gridSpan w:val="2"/>
            <w:vMerge w:val="continue"/>
            <w:vAlign w:val="center"/>
          </w:tcPr>
          <w:p w14:paraId="7F259F33">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p>
        </w:tc>
      </w:tr>
      <w:tr w14:paraId="58675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9" w:type="dxa"/>
            <w:left w:w="106" w:type="dxa"/>
            <w:bottom w:w="0" w:type="dxa"/>
            <w:right w:w="115" w:type="dxa"/>
          </w:tblCellMar>
        </w:tblPrEx>
        <w:trPr>
          <w:gridAfter w:val="1"/>
          <w:wAfter w:w="1" w:type="dxa"/>
          <w:trHeight w:val="57" w:hRule="atLeast"/>
          <w:jc w:val="center"/>
        </w:trPr>
        <w:tc>
          <w:tcPr>
            <w:tcW w:w="1693" w:type="dxa"/>
            <w:vMerge w:val="restart"/>
            <w:vAlign w:val="center"/>
          </w:tcPr>
          <w:p w14:paraId="4F7CE92B">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事件调查组</w:t>
            </w:r>
          </w:p>
        </w:tc>
        <w:tc>
          <w:tcPr>
            <w:tcW w:w="1259" w:type="dxa"/>
            <w:gridSpan w:val="2"/>
            <w:vAlign w:val="center"/>
          </w:tcPr>
          <w:p w14:paraId="3C36D9E9">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牵头单位</w:t>
            </w:r>
          </w:p>
        </w:tc>
        <w:tc>
          <w:tcPr>
            <w:tcW w:w="4646" w:type="dxa"/>
            <w:vAlign w:val="center"/>
          </w:tcPr>
          <w:p w14:paraId="446ADC68">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市生态环境局</w:t>
            </w:r>
            <w:r>
              <w:rPr>
                <w:rFonts w:hint="eastAsia" w:ascii="Times New Roman" w:hAnsi="Times New Roman" w:eastAsia="仿宋" w:cs="Times New Roman"/>
                <w:sz w:val="24"/>
                <w:szCs w:val="24"/>
                <w:highlight w:val="none"/>
                <w:lang w:val="en-US" w:eastAsia="zh-CN"/>
              </w:rPr>
              <w:t>汾阳</w:t>
            </w:r>
            <w:r>
              <w:rPr>
                <w:rFonts w:hint="default" w:ascii="Times New Roman" w:hAnsi="Times New Roman" w:eastAsia="仿宋" w:cs="Times New Roman"/>
                <w:sz w:val="24"/>
                <w:szCs w:val="24"/>
                <w:highlight w:val="none"/>
                <w:lang w:val="en-US" w:eastAsia="zh-CN"/>
              </w:rPr>
              <w:t>分局。</w:t>
            </w:r>
          </w:p>
        </w:tc>
        <w:tc>
          <w:tcPr>
            <w:tcW w:w="6452" w:type="dxa"/>
            <w:vMerge w:val="restart"/>
            <w:vAlign w:val="center"/>
          </w:tcPr>
          <w:p w14:paraId="695EF04D">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zh-CN" w:eastAsia="zh-CN"/>
              </w:rPr>
              <w:t>（1）</w:t>
            </w:r>
            <w:r>
              <w:rPr>
                <w:rFonts w:hint="default" w:ascii="Times New Roman" w:hAnsi="Times New Roman" w:eastAsia="仿宋" w:cs="Times New Roman"/>
                <w:sz w:val="24"/>
                <w:szCs w:val="24"/>
                <w:highlight w:val="none"/>
                <w:lang w:val="en-US" w:eastAsia="zh-CN"/>
              </w:rPr>
              <w:t>调查事件原因，做出调查结论，评估影响，提出防范意见；</w:t>
            </w:r>
          </w:p>
          <w:p w14:paraId="4B3166C6">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zh-CN" w:eastAsia="zh-CN"/>
              </w:rPr>
              <w:t>（2）</w:t>
            </w:r>
            <w:r>
              <w:rPr>
                <w:rFonts w:hint="default" w:ascii="Times New Roman" w:hAnsi="Times New Roman" w:eastAsia="仿宋" w:cs="Times New Roman"/>
                <w:sz w:val="24"/>
                <w:szCs w:val="24"/>
                <w:highlight w:val="none"/>
                <w:lang w:val="en-US" w:eastAsia="zh-CN"/>
              </w:rPr>
              <w:t>负责配合纪检监察机关追究相关单位和责任人的行政责任。</w:t>
            </w:r>
          </w:p>
        </w:tc>
      </w:tr>
      <w:tr w14:paraId="524FD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9" w:type="dxa"/>
            <w:left w:w="106" w:type="dxa"/>
            <w:bottom w:w="0" w:type="dxa"/>
            <w:right w:w="115" w:type="dxa"/>
          </w:tblCellMar>
        </w:tblPrEx>
        <w:trPr>
          <w:gridAfter w:val="1"/>
          <w:wAfter w:w="1" w:type="dxa"/>
          <w:trHeight w:val="57" w:hRule="atLeast"/>
          <w:jc w:val="center"/>
        </w:trPr>
        <w:tc>
          <w:tcPr>
            <w:tcW w:w="1693" w:type="dxa"/>
            <w:vMerge w:val="continue"/>
            <w:vAlign w:val="center"/>
          </w:tcPr>
          <w:p w14:paraId="353E5632">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p>
        </w:tc>
        <w:tc>
          <w:tcPr>
            <w:tcW w:w="1259" w:type="dxa"/>
            <w:gridSpan w:val="2"/>
            <w:vAlign w:val="center"/>
          </w:tcPr>
          <w:p w14:paraId="3A78E50D">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成员单位</w:t>
            </w:r>
          </w:p>
        </w:tc>
        <w:tc>
          <w:tcPr>
            <w:tcW w:w="4646" w:type="dxa"/>
            <w:vAlign w:val="center"/>
          </w:tcPr>
          <w:p w14:paraId="5FAA898D">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应急局、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公安局、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农业农村</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水利局、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自来是公司。</w:t>
            </w:r>
          </w:p>
        </w:tc>
        <w:tc>
          <w:tcPr>
            <w:tcW w:w="6452" w:type="dxa"/>
            <w:vMerge w:val="continue"/>
            <w:vAlign w:val="center"/>
          </w:tcPr>
          <w:p w14:paraId="43A6A826">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p>
        </w:tc>
      </w:tr>
      <w:tr w14:paraId="2B93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9" w:type="dxa"/>
            <w:left w:w="106" w:type="dxa"/>
            <w:bottom w:w="0" w:type="dxa"/>
            <w:right w:w="115" w:type="dxa"/>
          </w:tblCellMar>
        </w:tblPrEx>
        <w:trPr>
          <w:gridAfter w:val="1"/>
          <w:wAfter w:w="1" w:type="dxa"/>
          <w:trHeight w:val="57" w:hRule="atLeast"/>
          <w:jc w:val="center"/>
        </w:trPr>
        <w:tc>
          <w:tcPr>
            <w:tcW w:w="1693" w:type="dxa"/>
            <w:vMerge w:val="restart"/>
            <w:vAlign w:val="center"/>
          </w:tcPr>
          <w:p w14:paraId="3BCE1588">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综合组</w:t>
            </w:r>
          </w:p>
        </w:tc>
        <w:tc>
          <w:tcPr>
            <w:tcW w:w="1259" w:type="dxa"/>
            <w:gridSpan w:val="2"/>
            <w:vAlign w:val="center"/>
          </w:tcPr>
          <w:p w14:paraId="2C6614AC">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牵头单位</w:t>
            </w:r>
          </w:p>
        </w:tc>
        <w:tc>
          <w:tcPr>
            <w:tcW w:w="4646" w:type="dxa"/>
            <w:vAlign w:val="center"/>
          </w:tcPr>
          <w:p w14:paraId="356E5E28">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人民政府</w:t>
            </w:r>
          </w:p>
        </w:tc>
        <w:tc>
          <w:tcPr>
            <w:tcW w:w="6452" w:type="dxa"/>
            <w:vMerge w:val="restart"/>
            <w:vAlign w:val="center"/>
          </w:tcPr>
          <w:p w14:paraId="2603E4C2">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zh-CN" w:eastAsia="zh-CN"/>
              </w:rPr>
              <w:t>（1）</w:t>
            </w:r>
            <w:r>
              <w:rPr>
                <w:rFonts w:hint="default" w:ascii="Times New Roman" w:hAnsi="Times New Roman" w:eastAsia="仿宋" w:cs="Times New Roman"/>
                <w:sz w:val="24"/>
                <w:szCs w:val="24"/>
                <w:highlight w:val="none"/>
                <w:lang w:val="en-US" w:eastAsia="zh-CN"/>
              </w:rPr>
              <w:t>负责宣传报道工作；</w:t>
            </w:r>
          </w:p>
          <w:p w14:paraId="4D5257BC">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zh-CN" w:eastAsia="zh-CN"/>
              </w:rPr>
              <w:t>（2）</w:t>
            </w:r>
            <w:r>
              <w:rPr>
                <w:rFonts w:hint="default" w:ascii="Times New Roman" w:hAnsi="Times New Roman" w:eastAsia="仿宋" w:cs="Times New Roman"/>
                <w:sz w:val="24"/>
                <w:szCs w:val="24"/>
                <w:highlight w:val="none"/>
                <w:lang w:val="en-US" w:eastAsia="zh-CN"/>
              </w:rPr>
              <w:t>加强舆情收集分析，正确引导社会舆论。</w:t>
            </w:r>
          </w:p>
        </w:tc>
      </w:tr>
      <w:tr w14:paraId="488B6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9" w:type="dxa"/>
            <w:left w:w="106" w:type="dxa"/>
            <w:bottom w:w="0" w:type="dxa"/>
            <w:right w:w="115" w:type="dxa"/>
          </w:tblCellMar>
        </w:tblPrEx>
        <w:trPr>
          <w:gridAfter w:val="1"/>
          <w:wAfter w:w="1" w:type="dxa"/>
          <w:trHeight w:val="57" w:hRule="atLeast"/>
          <w:jc w:val="center"/>
        </w:trPr>
        <w:tc>
          <w:tcPr>
            <w:tcW w:w="1693" w:type="dxa"/>
            <w:vMerge w:val="continue"/>
            <w:vAlign w:val="center"/>
          </w:tcPr>
          <w:p w14:paraId="7EA90020">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p>
        </w:tc>
        <w:tc>
          <w:tcPr>
            <w:tcW w:w="1259" w:type="dxa"/>
            <w:gridSpan w:val="2"/>
            <w:vAlign w:val="center"/>
          </w:tcPr>
          <w:p w14:paraId="61D0FDAC">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成员单位</w:t>
            </w:r>
          </w:p>
        </w:tc>
        <w:tc>
          <w:tcPr>
            <w:tcW w:w="4646" w:type="dxa"/>
            <w:vAlign w:val="center"/>
          </w:tcPr>
          <w:p w14:paraId="0EF5F4B0">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市生态环境局</w:t>
            </w:r>
            <w:r>
              <w:rPr>
                <w:rFonts w:hint="eastAsia" w:ascii="Times New Roman" w:hAnsi="Times New Roman" w:eastAsia="仿宋" w:cs="Times New Roman"/>
                <w:sz w:val="24"/>
                <w:szCs w:val="24"/>
                <w:highlight w:val="none"/>
                <w:lang w:val="en-US" w:eastAsia="zh-CN"/>
              </w:rPr>
              <w:t>汾阳</w:t>
            </w:r>
            <w:r>
              <w:rPr>
                <w:rFonts w:hint="default" w:ascii="Times New Roman" w:hAnsi="Times New Roman" w:eastAsia="仿宋" w:cs="Times New Roman"/>
                <w:sz w:val="24"/>
                <w:szCs w:val="24"/>
                <w:highlight w:val="none"/>
                <w:lang w:val="en-US" w:eastAsia="zh-CN"/>
              </w:rPr>
              <w:t>分局、</w:t>
            </w:r>
            <w:r>
              <w:rPr>
                <w:rFonts w:hint="eastAsia" w:ascii="Times New Roman" w:hAnsi="Times New Roman" w:cs="Times New Roman"/>
                <w:sz w:val="24"/>
                <w:szCs w:val="24"/>
                <w:highlight w:val="none"/>
                <w:lang w:val="en-US" w:eastAsia="zh-CN"/>
              </w:rPr>
              <w:t>汾阳市</w:t>
            </w:r>
            <w:r>
              <w:rPr>
                <w:rFonts w:hint="default" w:ascii="Times New Roman" w:hAnsi="Times New Roman" w:eastAsia="仿宋" w:cs="Times New Roman"/>
                <w:sz w:val="24"/>
                <w:szCs w:val="24"/>
                <w:highlight w:val="none"/>
                <w:lang w:val="en-US" w:eastAsia="zh-CN"/>
              </w:rPr>
              <w:t>应急管理局、乡镇人民政府。</w:t>
            </w:r>
          </w:p>
        </w:tc>
        <w:tc>
          <w:tcPr>
            <w:tcW w:w="6452" w:type="dxa"/>
            <w:vMerge w:val="continue"/>
            <w:vAlign w:val="center"/>
          </w:tcPr>
          <w:p w14:paraId="28115F87">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p>
        </w:tc>
      </w:tr>
      <w:tr w14:paraId="7A6D3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9" w:type="dxa"/>
            <w:left w:w="106" w:type="dxa"/>
            <w:bottom w:w="0" w:type="dxa"/>
            <w:right w:w="115" w:type="dxa"/>
          </w:tblCellMar>
        </w:tblPrEx>
        <w:trPr>
          <w:gridAfter w:val="1"/>
          <w:wAfter w:w="1" w:type="dxa"/>
          <w:trHeight w:val="57" w:hRule="atLeast"/>
          <w:jc w:val="center"/>
        </w:trPr>
        <w:tc>
          <w:tcPr>
            <w:tcW w:w="1693" w:type="dxa"/>
            <w:vAlign w:val="center"/>
          </w:tcPr>
          <w:p w14:paraId="3804E1FE">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应急专家组</w:t>
            </w:r>
          </w:p>
        </w:tc>
        <w:tc>
          <w:tcPr>
            <w:tcW w:w="1259" w:type="dxa"/>
            <w:gridSpan w:val="2"/>
            <w:vAlign w:val="center"/>
          </w:tcPr>
          <w:p w14:paraId="0175E3B2">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w:t>
            </w:r>
          </w:p>
        </w:tc>
        <w:tc>
          <w:tcPr>
            <w:tcW w:w="4646" w:type="dxa"/>
            <w:vAlign w:val="center"/>
          </w:tcPr>
          <w:p w14:paraId="2F463046">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水源地管理、水体修复、环境保护和饮水卫生安全等方面的专家。</w:t>
            </w:r>
          </w:p>
        </w:tc>
        <w:tc>
          <w:tcPr>
            <w:tcW w:w="6452" w:type="dxa"/>
            <w:vAlign w:val="center"/>
          </w:tcPr>
          <w:p w14:paraId="0251AADC">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val="en-US" w:eastAsia="zh-CN"/>
              </w:rPr>
              <w:t>为现场应急处置提供技术支持。</w:t>
            </w:r>
          </w:p>
        </w:tc>
      </w:tr>
    </w:tbl>
    <w:p w14:paraId="396743D6">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highlight w:val="none"/>
        </w:rPr>
        <w:t xml:space="preserve"> </w:t>
      </w:r>
    </w:p>
    <w:p w14:paraId="78ABAE29">
      <w:pPr>
        <w:keepNext w:val="0"/>
        <w:keepLines w:val="0"/>
        <w:pageBreakBefore w:val="0"/>
        <w:widowControl w:val="0"/>
        <w:kinsoku/>
        <w:overflowPunct/>
        <w:topLinePunct w:val="0"/>
        <w:bidi w:val="0"/>
        <w:spacing w:line="360" w:lineRule="auto"/>
        <w:rPr>
          <w:rFonts w:hint="default" w:ascii="Times New Roman" w:hAnsi="Times New Roman" w:eastAsia="仿宋" w:cs="Times New Roman"/>
          <w:sz w:val="28"/>
          <w:szCs w:val="28"/>
        </w:rPr>
        <w:sectPr>
          <w:pgSz w:w="16838" w:h="11905" w:orient="landscape"/>
          <w:pgMar w:top="1803" w:right="1440" w:bottom="1803" w:left="1440"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79BB975A">
      <w:pPr>
        <w:pStyle w:val="2"/>
        <w:bidi w:val="0"/>
        <w:rPr>
          <w:rFonts w:hint="default"/>
        </w:rPr>
      </w:pPr>
      <w:bookmarkStart w:id="35" w:name="_Toc5466"/>
      <w:bookmarkStart w:id="36" w:name="_Toc10830"/>
      <w:r>
        <w:rPr>
          <w:rFonts w:hint="default"/>
        </w:rPr>
        <w:t>第</w:t>
      </w:r>
      <w:r>
        <w:rPr>
          <w:rFonts w:hint="default"/>
          <w:lang w:val="en-US" w:eastAsia="zh-CN"/>
        </w:rPr>
        <w:t>四</w:t>
      </w:r>
      <w:r>
        <w:rPr>
          <w:rFonts w:hint="default"/>
        </w:rPr>
        <w:t>章</w:t>
      </w:r>
      <w:r>
        <w:rPr>
          <w:rFonts w:hint="default"/>
          <w:lang w:val="en-US" w:eastAsia="zh-CN"/>
        </w:rPr>
        <w:t xml:space="preserve"> </w:t>
      </w:r>
      <w:r>
        <w:rPr>
          <w:rFonts w:hint="default"/>
        </w:rPr>
        <w:t>应急响应</w:t>
      </w:r>
      <w:bookmarkEnd w:id="35"/>
      <w:bookmarkEnd w:id="36"/>
    </w:p>
    <w:p w14:paraId="66F09614">
      <w:pPr>
        <w:pStyle w:val="3"/>
        <w:bidi w:val="0"/>
        <w:rPr>
          <w:rFonts w:hint="default"/>
        </w:rPr>
      </w:pPr>
      <w:bookmarkStart w:id="37" w:name="_Toc12848"/>
      <w:bookmarkStart w:id="38" w:name="_Toc10"/>
      <w:r>
        <w:rPr>
          <w:rFonts w:hint="default"/>
        </w:rPr>
        <w:t>4.1 预防</w:t>
      </w:r>
      <w:bookmarkEnd w:id="37"/>
      <w:bookmarkEnd w:id="38"/>
      <w:r>
        <w:rPr>
          <w:rFonts w:hint="default"/>
        </w:rPr>
        <w:t xml:space="preserve"> </w:t>
      </w:r>
    </w:p>
    <w:p w14:paraId="2DCE8088">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预防工作应当坚持着眼于应对当前、考虑长远的原则，加快实施对</w:t>
      </w:r>
      <w:r>
        <w:rPr>
          <w:rFonts w:hint="eastAsia" w:ascii="Times New Roman" w:hAnsi="Times New Roman" w:eastAsia="仿宋" w:cs="Times New Roman"/>
          <w:sz w:val="28"/>
          <w:szCs w:val="28"/>
          <w:lang w:eastAsia="zh-CN"/>
        </w:rPr>
        <w:t>汾阳市</w:t>
      </w:r>
      <w:r>
        <w:rPr>
          <w:rFonts w:hint="default" w:ascii="Times New Roman" w:hAnsi="Times New Roman" w:eastAsia="仿宋" w:cs="Times New Roman"/>
          <w:sz w:val="28"/>
          <w:szCs w:val="28"/>
        </w:rPr>
        <w:t>饮用水水源地突发性污染的有效控制和生态修复，改善饮用水水源地周边环境状况，确保水质安全。</w:t>
      </w:r>
    </w:p>
    <w:p w14:paraId="2E038321">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）把保证</w:t>
      </w:r>
      <w:r>
        <w:rPr>
          <w:rFonts w:hint="eastAsia" w:cs="Times New Roman"/>
          <w:sz w:val="28"/>
          <w:szCs w:val="28"/>
          <w:lang w:eastAsia="zh-CN"/>
        </w:rPr>
        <w:t>汾阳市10处乡镇集中式饮用水水源地</w:t>
      </w:r>
      <w:r>
        <w:rPr>
          <w:rFonts w:hint="default" w:ascii="Times New Roman" w:hAnsi="Times New Roman" w:eastAsia="仿宋" w:cs="Times New Roman"/>
          <w:sz w:val="28"/>
          <w:szCs w:val="28"/>
        </w:rPr>
        <w:t xml:space="preserve">水质安全的工作落实在日常管理之中，水源管理部门应加强基础工作和完善网络建设，提高防范意识，做好应对可能产生的危机事件的各项准备工作； </w:t>
      </w:r>
    </w:p>
    <w:p w14:paraId="7940AEC0">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w:t>
      </w:r>
      <w:r>
        <w:rPr>
          <w:rFonts w:hint="eastAsia" w:ascii="Times New Roman" w:hAnsi="Times New Roman" w:cs="Times New Roman"/>
          <w:sz w:val="28"/>
          <w:szCs w:val="28"/>
          <w:lang w:val="en-US" w:eastAsia="zh-CN"/>
        </w:rPr>
        <w:t>提</w:t>
      </w:r>
      <w:r>
        <w:rPr>
          <w:rFonts w:hint="default" w:ascii="Times New Roman" w:hAnsi="Times New Roman" w:eastAsia="仿宋" w:cs="Times New Roman"/>
          <w:sz w:val="28"/>
          <w:szCs w:val="28"/>
        </w:rPr>
        <w:t>请</w:t>
      </w: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及</w:t>
      </w:r>
      <w:r>
        <w:rPr>
          <w:rFonts w:hint="eastAsia" w:cs="Times New Roman"/>
          <w:sz w:val="28"/>
          <w:szCs w:val="28"/>
          <w:lang w:eastAsia="zh-CN"/>
        </w:rPr>
        <w:t>相关部门</w:t>
      </w:r>
      <w:r>
        <w:rPr>
          <w:rFonts w:hint="default" w:ascii="Times New Roman" w:hAnsi="Times New Roman" w:eastAsia="仿宋" w:cs="Times New Roman"/>
          <w:sz w:val="28"/>
          <w:szCs w:val="28"/>
        </w:rPr>
        <w:t>联合组建饮用水水源地突发环境事件预警信息监控网络，通过在各可能发生环境污染或安全事件的地点安装监控系统，实时掌握水源地周边环境现状，利用地理信息系统等先进的手段切实做好信息监测与报告工作；</w:t>
      </w:r>
    </w:p>
    <w:p w14:paraId="151833D0">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w:t>
      </w: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及</w:t>
      </w:r>
      <w:r>
        <w:rPr>
          <w:rFonts w:hint="eastAsia" w:cs="Times New Roman"/>
          <w:sz w:val="28"/>
          <w:szCs w:val="28"/>
          <w:lang w:eastAsia="zh-CN"/>
        </w:rPr>
        <w:t>相关部门</w:t>
      </w:r>
      <w:r>
        <w:rPr>
          <w:rFonts w:hint="default" w:ascii="Times New Roman" w:hAnsi="Times New Roman" w:eastAsia="仿宋" w:cs="Times New Roman"/>
          <w:sz w:val="28"/>
          <w:szCs w:val="28"/>
        </w:rPr>
        <w:t xml:space="preserve">应摸清饮用水水源地水资源供给条件、水环境状况以及管理保护措施等现状，制定有效措施，切实加强饮用水水源地保护工作； </w:t>
      </w:r>
    </w:p>
    <w:p w14:paraId="3300E60B">
      <w:pPr>
        <w:keepNext w:val="0"/>
        <w:keepLines w:val="0"/>
        <w:pageBreakBefore w:val="0"/>
        <w:widowControl w:val="0"/>
        <w:numPr>
          <w:ilvl w:val="0"/>
          <w:numId w:val="0"/>
        </w:numPr>
        <w:kinsoku/>
        <w:wordWrap w:val="0"/>
        <w:overflowPunct/>
        <w:topLinePunct/>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w:t>
      </w: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及</w:t>
      </w:r>
      <w:r>
        <w:rPr>
          <w:rFonts w:hint="eastAsia" w:cs="Times New Roman"/>
          <w:sz w:val="28"/>
          <w:szCs w:val="28"/>
          <w:lang w:eastAsia="zh-CN"/>
        </w:rPr>
        <w:t>相关部门</w:t>
      </w:r>
      <w:r>
        <w:rPr>
          <w:rFonts w:hint="default" w:ascii="Times New Roman" w:hAnsi="Times New Roman" w:eastAsia="仿宋" w:cs="Times New Roman"/>
          <w:sz w:val="28"/>
          <w:szCs w:val="28"/>
        </w:rPr>
        <w:t>开展饮用水水源地突发环境事件的假设、分析和风险评估工作，组织开展应急演练；</w:t>
      </w:r>
    </w:p>
    <w:p w14:paraId="178DB563">
      <w:pPr>
        <w:keepNext w:val="0"/>
        <w:keepLines w:val="0"/>
        <w:pageBreakBefore w:val="0"/>
        <w:widowControl w:val="0"/>
        <w:numPr>
          <w:ilvl w:val="0"/>
          <w:numId w:val="0"/>
        </w:numPr>
        <w:kinsoku/>
        <w:wordWrap w:val="0"/>
        <w:overflowPunct/>
        <w:topLinePunct/>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）加强</w:t>
      </w:r>
      <w:r>
        <w:rPr>
          <w:rFonts w:hint="eastAsia" w:cs="Times New Roman"/>
          <w:sz w:val="28"/>
          <w:szCs w:val="28"/>
          <w:lang w:eastAsia="zh-CN"/>
        </w:rPr>
        <w:t>汾阳市10处乡镇集中式饮用水水源地</w:t>
      </w:r>
      <w:r>
        <w:rPr>
          <w:rFonts w:hint="default" w:ascii="Times New Roman" w:hAnsi="Times New Roman" w:eastAsia="仿宋" w:cs="Times New Roman"/>
          <w:sz w:val="28"/>
          <w:szCs w:val="28"/>
        </w:rPr>
        <w:t>一级</w:t>
      </w:r>
      <w:r>
        <w:rPr>
          <w:rFonts w:hint="eastAsia" w:ascii="Times New Roman" w:hAnsi="Times New Roman" w:cs="Times New Roman"/>
          <w:sz w:val="28"/>
          <w:szCs w:val="28"/>
          <w:lang w:val="en-US" w:eastAsia="zh-CN"/>
        </w:rPr>
        <w:t>保护区</w:t>
      </w:r>
      <w:r>
        <w:rPr>
          <w:rFonts w:hint="default" w:ascii="Times New Roman" w:hAnsi="Times New Roman" w:eastAsia="仿宋" w:cs="Times New Roman"/>
          <w:sz w:val="28"/>
          <w:szCs w:val="28"/>
        </w:rPr>
        <w:t>内的风险源等监督检查，避免新增，必要时上报</w:t>
      </w:r>
      <w:r>
        <w:rPr>
          <w:rFonts w:hint="eastAsia" w:cs="Times New Roman"/>
          <w:sz w:val="28"/>
          <w:szCs w:val="28"/>
          <w:lang w:eastAsia="zh-CN"/>
        </w:rPr>
        <w:t>汾阳市人民政府</w:t>
      </w:r>
      <w:r>
        <w:rPr>
          <w:rFonts w:hint="default" w:ascii="Times New Roman" w:hAnsi="Times New Roman" w:eastAsia="仿宋" w:cs="Times New Roman"/>
          <w:sz w:val="28"/>
          <w:szCs w:val="28"/>
        </w:rPr>
        <w:t>，由政府采取停产手段，减少污染物排放，对查实的违法行为从严从重处理；</w:t>
      </w:r>
    </w:p>
    <w:p w14:paraId="10C4748D">
      <w:pPr>
        <w:keepNext w:val="0"/>
        <w:keepLines w:val="0"/>
        <w:pageBreakBefore w:val="0"/>
        <w:widowControl w:val="0"/>
        <w:numPr>
          <w:ilvl w:val="0"/>
          <w:numId w:val="0"/>
        </w:numPr>
        <w:kinsoku/>
        <w:wordWrap w:val="0"/>
        <w:overflowPunct/>
        <w:topLinePunct/>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rPr>
        <w:t>）市生态环境局</w:t>
      </w:r>
      <w:r>
        <w:rPr>
          <w:rFonts w:hint="eastAsia" w:ascii="Times New Roman" w:hAnsi="Times New Roman" w:eastAsia="仿宋" w:cs="Times New Roman"/>
          <w:sz w:val="28"/>
          <w:szCs w:val="28"/>
          <w:lang w:eastAsia="zh-CN"/>
        </w:rPr>
        <w:t>汾阳</w:t>
      </w:r>
      <w:r>
        <w:rPr>
          <w:rFonts w:hint="default" w:ascii="Times New Roman" w:hAnsi="Times New Roman" w:eastAsia="仿宋" w:cs="Times New Roman"/>
          <w:sz w:val="28"/>
          <w:szCs w:val="28"/>
        </w:rPr>
        <w:t>分局监管并控制</w:t>
      </w:r>
      <w:r>
        <w:rPr>
          <w:rFonts w:hint="eastAsia" w:cs="Times New Roman"/>
          <w:sz w:val="28"/>
          <w:szCs w:val="28"/>
          <w:lang w:eastAsia="zh-CN"/>
        </w:rPr>
        <w:t>汾阳市10处乡镇集中式饮用水水源地</w:t>
      </w:r>
      <w:r>
        <w:rPr>
          <w:rFonts w:hint="default" w:ascii="Times New Roman" w:hAnsi="Times New Roman" w:eastAsia="仿宋" w:cs="Times New Roman"/>
          <w:sz w:val="28"/>
          <w:szCs w:val="28"/>
        </w:rPr>
        <w:t xml:space="preserve">保护区内的各种污染活动，治理可能导致保护区内水体污染的排污行为； </w:t>
      </w:r>
    </w:p>
    <w:p w14:paraId="141B12B8">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7</w:t>
      </w:r>
      <w:r>
        <w:rPr>
          <w:rFonts w:hint="default" w:ascii="Times New Roman" w:hAnsi="Times New Roman" w:eastAsia="仿宋" w:cs="Times New Roman"/>
          <w:sz w:val="28"/>
          <w:szCs w:val="28"/>
        </w:rPr>
        <w:t xml:space="preserve">）开展饮用水水源地突发环境事件的风险评估，建立环境风险源档案和环境应急物资库。 </w:t>
      </w:r>
    </w:p>
    <w:p w14:paraId="3B118C15">
      <w:pPr>
        <w:pStyle w:val="3"/>
        <w:bidi w:val="0"/>
        <w:rPr>
          <w:rFonts w:hint="default"/>
        </w:rPr>
      </w:pPr>
      <w:bookmarkStart w:id="39" w:name="_Toc27082"/>
      <w:bookmarkStart w:id="40" w:name="_Toc4562"/>
      <w:r>
        <w:rPr>
          <w:rFonts w:hint="default"/>
          <w:lang w:val="en-US" w:eastAsia="zh-CN"/>
        </w:rPr>
        <w:t>4.2</w:t>
      </w:r>
      <w:r>
        <w:rPr>
          <w:rFonts w:hint="default"/>
        </w:rPr>
        <w:t>应急响应工作路线</w:t>
      </w:r>
      <w:bookmarkEnd w:id="39"/>
      <w:bookmarkEnd w:id="40"/>
    </w:p>
    <w:p w14:paraId="0DB4E3FA">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应急响应包括信息收集和研判、预警、信息报告与通报、事态研判、分级响应、应急监测、污染源排查与处置、应急处置、物资调集及应急设施启用、舆情监测与信息发布、响应终止等工作内容。</w:t>
      </w:r>
    </w:p>
    <w:p w14:paraId="286387CE">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textAlignment w:val="auto"/>
        <w:rPr>
          <w:rFonts w:hint="default" w:ascii="Times New Roman" w:hAnsi="Times New Roman" w:eastAsia="仿宋" w:cs="Times New Roman"/>
          <w:sz w:val="28"/>
          <w:szCs w:val="28"/>
        </w:rPr>
      </w:pPr>
      <w:r>
        <w:rPr>
          <w:rFonts w:hint="eastAsia" w:cs="Times New Roman"/>
          <w:sz w:val="28"/>
          <w:szCs w:val="28"/>
          <w:lang w:eastAsia="zh-CN"/>
        </w:rPr>
        <w:t>汾阳市10处乡镇集中式饮用水水源地</w:t>
      </w:r>
      <w:r>
        <w:rPr>
          <w:rFonts w:hint="default" w:ascii="Times New Roman" w:hAnsi="Times New Roman" w:eastAsia="仿宋" w:cs="Times New Roman"/>
          <w:sz w:val="28"/>
          <w:szCs w:val="28"/>
        </w:rPr>
        <w:t>应急响应工作线路图见图4-1。</w:t>
      </w:r>
    </w:p>
    <w:p w14:paraId="468FD074">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firstLine="0" w:firstLineChars="0"/>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drawing>
          <wp:inline distT="0" distB="0" distL="114300" distR="114300">
            <wp:extent cx="5010150" cy="6305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4"/>
                    <a:srcRect r="5720"/>
                    <a:stretch>
                      <a:fillRect/>
                    </a:stretch>
                  </pic:blipFill>
                  <pic:spPr>
                    <a:xfrm>
                      <a:off x="0" y="0"/>
                      <a:ext cx="5010150" cy="6305550"/>
                    </a:xfrm>
                    <a:prstGeom prst="rect">
                      <a:avLst/>
                    </a:prstGeom>
                    <a:noFill/>
                    <a:ln>
                      <a:noFill/>
                    </a:ln>
                  </pic:spPr>
                </pic:pic>
              </a:graphicData>
            </a:graphic>
          </wp:inline>
        </w:drawing>
      </w:r>
    </w:p>
    <w:p w14:paraId="51BAA51B">
      <w:pPr>
        <w:keepNext w:val="0"/>
        <w:keepLines w:val="0"/>
        <w:pageBreakBefore w:val="0"/>
        <w:widowControl w:val="0"/>
        <w:kinsoku/>
        <w:wordWrap/>
        <w:overflowPunct/>
        <w:topLinePunct w:val="0"/>
        <w:autoSpaceDE/>
        <w:autoSpaceDN/>
        <w:bidi w:val="0"/>
        <w:adjustRightInd/>
        <w:snapToGrid/>
        <w:spacing w:after="0" w:line="240" w:lineRule="auto"/>
        <w:ind w:left="-560" w:leftChars="-200" w:right="0"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图4-1水源地应急响应工作线路图</w:t>
      </w:r>
    </w:p>
    <w:p w14:paraId="0FFE3D78">
      <w:pPr>
        <w:pStyle w:val="3"/>
        <w:bidi w:val="0"/>
        <w:rPr>
          <w:rFonts w:hint="default"/>
        </w:rPr>
      </w:pPr>
      <w:bookmarkStart w:id="41" w:name="_Toc17503"/>
      <w:bookmarkStart w:id="42" w:name="_Toc27878"/>
      <w:r>
        <w:rPr>
          <w:rFonts w:hint="default"/>
          <w:lang w:val="en-US" w:eastAsia="zh-CN"/>
        </w:rPr>
        <w:t>4.3</w:t>
      </w:r>
      <w:r>
        <w:rPr>
          <w:rFonts w:hint="default"/>
        </w:rPr>
        <w:t>信息收集和研判</w:t>
      </w:r>
      <w:bookmarkEnd w:id="41"/>
      <w:bookmarkEnd w:id="42"/>
      <w:r>
        <w:rPr>
          <w:rFonts w:hint="default"/>
        </w:rPr>
        <w:t xml:space="preserve"> </w:t>
      </w:r>
    </w:p>
    <w:p w14:paraId="361C57EE">
      <w:pPr>
        <w:pStyle w:val="4"/>
        <w:bidi w:val="0"/>
        <w:rPr>
          <w:rFonts w:hint="default"/>
        </w:rPr>
      </w:pPr>
      <w:bookmarkStart w:id="43" w:name="_Toc24263"/>
      <w:r>
        <w:rPr>
          <w:rFonts w:hint="default"/>
        </w:rPr>
        <w:t>4.3.1 信息收集</w:t>
      </w:r>
      <w:bookmarkEnd w:id="43"/>
      <w:r>
        <w:rPr>
          <w:rFonts w:hint="default"/>
        </w:rPr>
        <w:t xml:space="preserve"> </w:t>
      </w:r>
    </w:p>
    <w:p w14:paraId="203DD28D">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按照“早发现、早报告、早处置”的原则，</w:t>
      </w:r>
      <w:r>
        <w:rPr>
          <w:rFonts w:hint="eastAsia" w:cs="Times New Roman"/>
          <w:sz w:val="28"/>
          <w:szCs w:val="28"/>
          <w:lang w:eastAsia="zh-CN"/>
        </w:rPr>
        <w:t>汾阳市人民政府</w:t>
      </w:r>
      <w:r>
        <w:rPr>
          <w:rFonts w:hint="default" w:ascii="Times New Roman" w:hAnsi="Times New Roman" w:eastAsia="仿宋" w:cs="Times New Roman"/>
          <w:sz w:val="28"/>
          <w:szCs w:val="28"/>
        </w:rPr>
        <w:t xml:space="preserve">与各部门之间、上下游相邻区域政府之间建立信息收集与共享渠道，收集信息。信息收集方式包括如下方式： </w:t>
      </w:r>
    </w:p>
    <w:p w14:paraId="5FA94ECB">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1、</w:t>
      </w:r>
      <w:r>
        <w:rPr>
          <w:rFonts w:hint="eastAsia" w:cs="Times New Roman"/>
          <w:sz w:val="28"/>
          <w:szCs w:val="28"/>
          <w:lang w:val="en-US" w:eastAsia="zh-CN"/>
        </w:rPr>
        <w:t>吕梁</w:t>
      </w:r>
      <w:r>
        <w:rPr>
          <w:rFonts w:hint="default" w:ascii="Times New Roman" w:hAnsi="Times New Roman" w:eastAsia="仿宋" w:cs="Times New Roman"/>
          <w:sz w:val="28"/>
          <w:szCs w:val="28"/>
        </w:rPr>
        <w:t>市生态环境局</w:t>
      </w:r>
      <w:r>
        <w:rPr>
          <w:rFonts w:hint="eastAsia" w:ascii="Times New Roman" w:hAnsi="Times New Roman" w:eastAsia="仿宋" w:cs="Times New Roman"/>
          <w:sz w:val="28"/>
          <w:szCs w:val="28"/>
          <w:lang w:eastAsia="zh-CN"/>
        </w:rPr>
        <w:t>汾阳</w:t>
      </w:r>
      <w:r>
        <w:rPr>
          <w:rFonts w:hint="default" w:ascii="Times New Roman" w:hAnsi="Times New Roman" w:eastAsia="仿宋" w:cs="Times New Roman"/>
          <w:sz w:val="28"/>
          <w:szCs w:val="28"/>
        </w:rPr>
        <w:t>分局、</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农业农村</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汾阳市</w:t>
      </w:r>
      <w:r>
        <w:rPr>
          <w:rFonts w:hint="default" w:ascii="Times New Roman" w:hAnsi="Times New Roman" w:eastAsia="仿宋" w:cs="Times New Roman"/>
          <w:sz w:val="28"/>
          <w:szCs w:val="28"/>
        </w:rPr>
        <w:t>水利局、</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lang w:val="en-US" w:eastAsia="zh-CN"/>
        </w:rPr>
        <w:t>自来水公司</w:t>
      </w:r>
      <w:r>
        <w:rPr>
          <w:rFonts w:hint="default" w:ascii="Times New Roman" w:hAnsi="Times New Roman" w:eastAsia="仿宋" w:cs="Times New Roman"/>
          <w:sz w:val="28"/>
          <w:szCs w:val="28"/>
        </w:rPr>
        <w:t>、</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应急管理局等部门通过水源地水质监督性监测与在线监测等日常监管渠道获取水质变化信息，也可以通过收集水文气象、地形地貌、污染排放、防护措施等信息开展水质快速预测预警，获取水质预警信息。市生态环境局</w:t>
      </w:r>
      <w:r>
        <w:rPr>
          <w:rFonts w:hint="eastAsia" w:ascii="Times New Roman" w:hAnsi="Times New Roman" w:eastAsia="仿宋" w:cs="Times New Roman"/>
          <w:sz w:val="28"/>
          <w:szCs w:val="28"/>
          <w:lang w:eastAsia="zh-CN"/>
        </w:rPr>
        <w:t>汾阳</w:t>
      </w:r>
      <w:r>
        <w:rPr>
          <w:rFonts w:hint="default" w:ascii="Times New Roman" w:hAnsi="Times New Roman" w:eastAsia="仿宋" w:cs="Times New Roman"/>
          <w:sz w:val="28"/>
          <w:szCs w:val="28"/>
        </w:rPr>
        <w:t>分局可通过水源地主要风险源监控获取固定源异常排放的信息，也可通过123</w:t>
      </w:r>
      <w:r>
        <w:rPr>
          <w:rFonts w:hint="eastAsia" w:ascii="Times New Roman" w:hAnsi="Times New Roman" w:eastAsia="仿宋" w:cs="Times New Roman"/>
          <w:sz w:val="28"/>
          <w:szCs w:val="28"/>
          <w:lang w:val="en-US" w:eastAsia="zh-CN"/>
        </w:rPr>
        <w:t>45</w:t>
      </w:r>
      <w:r>
        <w:rPr>
          <w:rFonts w:hint="default" w:ascii="Times New Roman" w:hAnsi="Times New Roman" w:eastAsia="仿宋" w:cs="Times New Roman"/>
          <w:sz w:val="28"/>
          <w:szCs w:val="28"/>
        </w:rPr>
        <w:t xml:space="preserve">热线获取突发环境事件信息。 </w:t>
      </w:r>
    </w:p>
    <w:p w14:paraId="5B6FAF95">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2、</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公安局、</w:t>
      </w:r>
      <w:r>
        <w:rPr>
          <w:rFonts w:hint="eastAsia" w:ascii="Times New Roman" w:hAnsi="Times New Roman" w:cs="Times New Roman"/>
          <w:sz w:val="28"/>
          <w:szCs w:val="28"/>
          <w:lang w:eastAsia="zh-CN"/>
        </w:rPr>
        <w:t>汾阳市</w:t>
      </w:r>
      <w:r>
        <w:rPr>
          <w:rFonts w:hint="eastAsia" w:cs="Times New Roman"/>
          <w:sz w:val="28"/>
          <w:szCs w:val="28"/>
          <w:lang w:val="en-US" w:eastAsia="zh-CN"/>
        </w:rPr>
        <w:t>交通运输局、汾阳市</w:t>
      </w:r>
      <w:r>
        <w:rPr>
          <w:rFonts w:hint="default" w:ascii="Times New Roman" w:hAnsi="Times New Roman" w:eastAsia="仿宋" w:cs="Times New Roman"/>
          <w:sz w:val="28"/>
          <w:szCs w:val="28"/>
          <w:lang w:eastAsia="zh-CN"/>
        </w:rPr>
        <w:t>交通运输局</w:t>
      </w:r>
      <w:r>
        <w:rPr>
          <w:rFonts w:hint="default" w:ascii="Times New Roman" w:hAnsi="Times New Roman" w:eastAsia="仿宋" w:cs="Times New Roman"/>
          <w:sz w:val="28"/>
          <w:szCs w:val="28"/>
        </w:rPr>
        <w:t>通过车辆事故报警获取流动源事故信息，也可通过110报警电话获取突发环境事件信息。</w:t>
      </w:r>
    </w:p>
    <w:p w14:paraId="64C179D2">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企事业、养殖业等单位发生事故或者其他突发性事件，造成或者可能造成水污染事件的，应当立即启动本单位的应急方案，采取应急措施，并向</w:t>
      </w:r>
      <w:r>
        <w:rPr>
          <w:rFonts w:hint="eastAsia" w:cs="Times New Roman"/>
          <w:sz w:val="28"/>
          <w:szCs w:val="28"/>
          <w:lang w:eastAsia="zh-CN"/>
        </w:rPr>
        <w:t>汾阳市人民政府</w:t>
      </w:r>
      <w:r>
        <w:rPr>
          <w:rFonts w:hint="default" w:ascii="Times New Roman" w:hAnsi="Times New Roman" w:eastAsia="仿宋" w:cs="Times New Roman"/>
          <w:sz w:val="28"/>
          <w:szCs w:val="28"/>
        </w:rPr>
        <w:t>或者</w:t>
      </w:r>
      <w:r>
        <w:rPr>
          <w:rFonts w:hint="eastAsia" w:cs="Times New Roman"/>
          <w:sz w:val="28"/>
          <w:szCs w:val="28"/>
          <w:lang w:val="en-US" w:eastAsia="zh-CN"/>
        </w:rPr>
        <w:t>吕梁</w:t>
      </w:r>
      <w:r>
        <w:rPr>
          <w:rFonts w:hint="default" w:ascii="Times New Roman" w:hAnsi="Times New Roman" w:eastAsia="仿宋" w:cs="Times New Roman"/>
          <w:sz w:val="28"/>
          <w:szCs w:val="28"/>
        </w:rPr>
        <w:t>市生态环境局</w:t>
      </w:r>
      <w:r>
        <w:rPr>
          <w:rFonts w:hint="eastAsia" w:ascii="Times New Roman" w:hAnsi="Times New Roman" w:eastAsia="仿宋" w:cs="Times New Roman"/>
          <w:sz w:val="28"/>
          <w:szCs w:val="28"/>
          <w:lang w:eastAsia="zh-CN"/>
        </w:rPr>
        <w:t>汾阳</w:t>
      </w:r>
      <w:r>
        <w:rPr>
          <w:rFonts w:hint="default" w:ascii="Times New Roman" w:hAnsi="Times New Roman" w:eastAsia="仿宋" w:cs="Times New Roman"/>
          <w:sz w:val="28"/>
          <w:szCs w:val="28"/>
        </w:rPr>
        <w:t>分局报告。饮用水水源地周边区域群众一旦发现突发性水污染事件时，有义务向</w:t>
      </w:r>
      <w:r>
        <w:rPr>
          <w:rFonts w:hint="eastAsia" w:cs="Times New Roman"/>
          <w:sz w:val="28"/>
          <w:szCs w:val="28"/>
          <w:lang w:eastAsia="zh-CN"/>
        </w:rPr>
        <w:t>汾阳市人民政府</w:t>
      </w:r>
      <w:r>
        <w:rPr>
          <w:rFonts w:hint="default" w:ascii="Times New Roman" w:hAnsi="Times New Roman" w:eastAsia="仿宋" w:cs="Times New Roman"/>
          <w:sz w:val="28"/>
          <w:szCs w:val="28"/>
        </w:rPr>
        <w:t>或者</w:t>
      </w:r>
      <w:r>
        <w:rPr>
          <w:rFonts w:hint="eastAsia" w:cs="Times New Roman"/>
          <w:sz w:val="28"/>
          <w:szCs w:val="28"/>
          <w:lang w:val="en-US" w:eastAsia="zh-CN"/>
        </w:rPr>
        <w:t>吕梁</w:t>
      </w:r>
      <w:r>
        <w:rPr>
          <w:rFonts w:hint="default" w:ascii="Times New Roman" w:hAnsi="Times New Roman" w:eastAsia="仿宋" w:cs="Times New Roman"/>
          <w:sz w:val="28"/>
          <w:szCs w:val="28"/>
        </w:rPr>
        <w:t>市生态环境局</w:t>
      </w:r>
      <w:r>
        <w:rPr>
          <w:rFonts w:hint="eastAsia" w:ascii="Times New Roman" w:hAnsi="Times New Roman" w:eastAsia="仿宋" w:cs="Times New Roman"/>
          <w:sz w:val="28"/>
          <w:szCs w:val="28"/>
          <w:lang w:eastAsia="zh-CN"/>
        </w:rPr>
        <w:t>汾阳</w:t>
      </w:r>
      <w:r>
        <w:rPr>
          <w:rFonts w:hint="default" w:ascii="Times New Roman" w:hAnsi="Times New Roman" w:eastAsia="仿宋" w:cs="Times New Roman"/>
          <w:sz w:val="28"/>
          <w:szCs w:val="28"/>
        </w:rPr>
        <w:t>分局报告，或者向“110”、“123</w:t>
      </w:r>
      <w:r>
        <w:rPr>
          <w:rFonts w:hint="eastAsia" w:ascii="Times New Roman" w:hAnsi="Times New Roman" w:eastAsia="仿宋" w:cs="Times New Roman"/>
          <w:sz w:val="28"/>
          <w:szCs w:val="28"/>
          <w:lang w:val="en-US" w:eastAsia="zh-CN"/>
        </w:rPr>
        <w:t>45</w:t>
      </w:r>
      <w:r>
        <w:rPr>
          <w:rFonts w:hint="default" w:ascii="Times New Roman" w:hAnsi="Times New Roman" w:eastAsia="仿宋" w:cs="Times New Roman"/>
          <w:sz w:val="28"/>
          <w:szCs w:val="28"/>
        </w:rPr>
        <w:t>”报警。</w:t>
      </w:r>
    </w:p>
    <w:p w14:paraId="4EAF1A71">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val="en-US" w:eastAsia="zh-CN"/>
        </w:rPr>
        <w:t>吕梁</w:t>
      </w:r>
      <w:r>
        <w:rPr>
          <w:rFonts w:hint="default" w:ascii="Times New Roman" w:hAnsi="Times New Roman" w:eastAsia="仿宋" w:cs="Times New Roman"/>
          <w:sz w:val="28"/>
          <w:szCs w:val="28"/>
        </w:rPr>
        <w:t>市生态环境局</w:t>
      </w:r>
      <w:r>
        <w:rPr>
          <w:rFonts w:hint="eastAsia" w:ascii="Times New Roman" w:hAnsi="Times New Roman" w:eastAsia="仿宋" w:cs="Times New Roman"/>
          <w:sz w:val="28"/>
          <w:szCs w:val="28"/>
          <w:lang w:eastAsia="zh-CN"/>
        </w:rPr>
        <w:t>汾阳</w:t>
      </w:r>
      <w:r>
        <w:rPr>
          <w:rFonts w:hint="default" w:ascii="Times New Roman" w:hAnsi="Times New Roman" w:eastAsia="仿宋" w:cs="Times New Roman"/>
          <w:sz w:val="28"/>
          <w:szCs w:val="28"/>
        </w:rPr>
        <w:t>分局、</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lang w:eastAsia="zh-CN"/>
        </w:rPr>
        <w:t>农业农村</w:t>
      </w:r>
      <w:r>
        <w:rPr>
          <w:rFonts w:hint="eastAsia" w:cs="Times New Roman"/>
          <w:sz w:val="28"/>
          <w:szCs w:val="28"/>
          <w:lang w:val="en-US" w:eastAsia="zh-CN"/>
        </w:rPr>
        <w:t>局、汾阳市</w:t>
      </w:r>
      <w:r>
        <w:rPr>
          <w:rFonts w:hint="default" w:ascii="Times New Roman" w:hAnsi="Times New Roman" w:eastAsia="仿宋" w:cs="Times New Roman"/>
          <w:sz w:val="28"/>
          <w:szCs w:val="28"/>
          <w:lang w:eastAsia="zh-CN"/>
        </w:rPr>
        <w:t>水利局</w:t>
      </w:r>
      <w:r>
        <w:rPr>
          <w:rFonts w:hint="default" w:ascii="Times New Roman" w:hAnsi="Times New Roman" w:eastAsia="仿宋" w:cs="Times New Roman"/>
          <w:sz w:val="28"/>
          <w:szCs w:val="28"/>
        </w:rPr>
        <w:t>、</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自来水公司、</w:t>
      </w:r>
      <w:r>
        <w:rPr>
          <w:rFonts w:hint="eastAsia" w:ascii="Times New Roman" w:hAnsi="Times New Roman" w:cs="Times New Roman"/>
          <w:sz w:val="28"/>
          <w:szCs w:val="28"/>
          <w:lang w:eastAsia="zh-CN"/>
        </w:rPr>
        <w:t>汾阳市</w:t>
      </w:r>
      <w:r>
        <w:rPr>
          <w:rFonts w:hint="eastAsia" w:cs="Times New Roman"/>
          <w:sz w:val="28"/>
          <w:szCs w:val="28"/>
          <w:lang w:val="en-US" w:eastAsia="zh-CN"/>
        </w:rPr>
        <w:t>住房和</w:t>
      </w:r>
      <w:r>
        <w:rPr>
          <w:rFonts w:hint="default" w:ascii="Times New Roman" w:hAnsi="Times New Roman" w:eastAsia="仿宋" w:cs="Times New Roman"/>
          <w:sz w:val="28"/>
          <w:szCs w:val="28"/>
          <w:lang w:eastAsia="zh-CN"/>
        </w:rPr>
        <w:t>城乡建设</w:t>
      </w:r>
      <w:r>
        <w:rPr>
          <w:rFonts w:hint="eastAsia" w:cs="Times New Roman"/>
          <w:sz w:val="28"/>
          <w:szCs w:val="28"/>
          <w:lang w:val="en-US" w:eastAsia="zh-CN"/>
        </w:rPr>
        <w:t>局、汾阳市</w:t>
      </w:r>
      <w:r>
        <w:rPr>
          <w:rFonts w:hint="default" w:ascii="Times New Roman" w:hAnsi="Times New Roman" w:eastAsia="仿宋" w:cs="Times New Roman"/>
          <w:sz w:val="28"/>
          <w:szCs w:val="28"/>
          <w:lang w:eastAsia="zh-CN"/>
        </w:rPr>
        <w:t>交通运输局</w:t>
      </w:r>
      <w:r>
        <w:rPr>
          <w:rFonts w:hint="default" w:ascii="Times New Roman" w:hAnsi="Times New Roman" w:eastAsia="仿宋" w:cs="Times New Roman"/>
          <w:sz w:val="28"/>
          <w:szCs w:val="28"/>
        </w:rPr>
        <w:t>、</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公安局、</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应急管理局、</w:t>
      </w:r>
      <w:r>
        <w:rPr>
          <w:rFonts w:hint="eastAsia" w:cs="Times New Roman"/>
          <w:sz w:val="28"/>
          <w:szCs w:val="28"/>
          <w:lang w:val="en-US" w:eastAsia="zh-CN"/>
        </w:rPr>
        <w:t>各</w:t>
      </w:r>
      <w:r>
        <w:rPr>
          <w:rFonts w:hint="default" w:ascii="Times New Roman" w:hAnsi="Times New Roman" w:eastAsia="仿宋" w:cs="Times New Roman"/>
          <w:sz w:val="28"/>
          <w:szCs w:val="28"/>
        </w:rPr>
        <w:t>乡镇人民政府等部门按照各自职责收集和传递水源地突发环境事件的信息，并及时将相关信息报告</w:t>
      </w: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 xml:space="preserve">及其办公室。 </w:t>
      </w:r>
    </w:p>
    <w:p w14:paraId="0CF15886">
      <w:pPr>
        <w:pStyle w:val="4"/>
        <w:bidi w:val="0"/>
        <w:rPr>
          <w:rFonts w:hint="default"/>
          <w:lang w:val="en-US" w:eastAsia="zh-CN"/>
        </w:rPr>
      </w:pPr>
      <w:bookmarkStart w:id="44" w:name="_Toc27831"/>
      <w:r>
        <w:rPr>
          <w:rFonts w:hint="default"/>
          <w:lang w:val="en-US" w:eastAsia="zh-CN"/>
        </w:rPr>
        <w:t>4.3.2 信息初次研判</w:t>
      </w:r>
      <w:bookmarkEnd w:id="44"/>
      <w:r>
        <w:rPr>
          <w:rFonts w:hint="default"/>
          <w:lang w:val="en-US" w:eastAsia="zh-CN"/>
        </w:rPr>
        <w:t xml:space="preserve"> </w:t>
      </w:r>
    </w:p>
    <w:p w14:paraId="38E39FC1">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 xml:space="preserve">办公室负责信息核实和研判工作，当获取到突发事件信息时，应第一时间开展以下工作： </w:t>
      </w:r>
    </w:p>
    <w:p w14:paraId="17C9671D">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 xml:space="preserve">）核实信息的真实性； </w:t>
      </w:r>
    </w:p>
    <w:p w14:paraId="0566975A">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）进一步收集信息，</w:t>
      </w:r>
      <w:r>
        <w:rPr>
          <w:rFonts w:hint="eastAsia" w:cs="Times New Roman"/>
          <w:sz w:val="28"/>
          <w:szCs w:val="28"/>
          <w:lang w:eastAsia="zh-CN"/>
        </w:rPr>
        <w:t>相关部门</w:t>
      </w:r>
      <w:r>
        <w:rPr>
          <w:rFonts w:hint="default" w:ascii="Times New Roman" w:hAnsi="Times New Roman" w:eastAsia="仿宋" w:cs="Times New Roman"/>
          <w:sz w:val="28"/>
          <w:szCs w:val="28"/>
        </w:rPr>
        <w:t xml:space="preserve">可共同开展信息收集工作； </w:t>
      </w:r>
    </w:p>
    <w:p w14:paraId="206F46B6">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）及时报告</w:t>
      </w: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 xml:space="preserve">。 </w:t>
      </w:r>
    </w:p>
    <w:p w14:paraId="4626ECCE">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组织</w:t>
      </w:r>
      <w:r>
        <w:rPr>
          <w:rFonts w:hint="eastAsia" w:cs="Times New Roman"/>
          <w:sz w:val="28"/>
          <w:szCs w:val="28"/>
          <w:lang w:eastAsia="zh-CN"/>
        </w:rPr>
        <w:t>相关部门</w:t>
      </w:r>
      <w:r>
        <w:rPr>
          <w:rFonts w:hint="default" w:ascii="Times New Roman" w:hAnsi="Times New Roman" w:eastAsia="仿宋" w:cs="Times New Roman"/>
          <w:sz w:val="28"/>
          <w:szCs w:val="28"/>
        </w:rPr>
        <w:t xml:space="preserve">和专业技术人员及专家进行会商，研判水质变化趋势，若判断可能对水源地水质造成影响，指挥部应立即转换为现场应急指挥部。 </w:t>
      </w:r>
    </w:p>
    <w:p w14:paraId="53731FA3">
      <w:pPr>
        <w:pStyle w:val="3"/>
        <w:bidi w:val="0"/>
        <w:rPr>
          <w:rFonts w:hint="default"/>
          <w:lang w:val="en-US" w:eastAsia="zh-CN"/>
        </w:rPr>
      </w:pPr>
      <w:bookmarkStart w:id="45" w:name="_Toc7351"/>
      <w:bookmarkStart w:id="46" w:name="_Toc22679"/>
      <w:r>
        <w:rPr>
          <w:rFonts w:hint="default"/>
          <w:lang w:val="en-US" w:eastAsia="zh-CN"/>
        </w:rPr>
        <w:t>4.4 发布预警和预警行动</w:t>
      </w:r>
      <w:bookmarkEnd w:id="45"/>
      <w:bookmarkEnd w:id="46"/>
      <w:r>
        <w:rPr>
          <w:rFonts w:hint="default"/>
          <w:lang w:val="en-US" w:eastAsia="zh-CN"/>
        </w:rPr>
        <w:t xml:space="preserve"> </w:t>
      </w:r>
    </w:p>
    <w:p w14:paraId="4AC349B3">
      <w:pPr>
        <w:pStyle w:val="4"/>
        <w:bidi w:val="0"/>
        <w:rPr>
          <w:rFonts w:hint="default"/>
        </w:rPr>
      </w:pPr>
      <w:bookmarkStart w:id="47" w:name="_Toc21144"/>
      <w:r>
        <w:rPr>
          <w:rFonts w:hint="default"/>
        </w:rPr>
        <w:t>4.4.1 预警分级</w:t>
      </w:r>
      <w:bookmarkEnd w:id="47"/>
      <w:r>
        <w:rPr>
          <w:rFonts w:hint="default"/>
        </w:rPr>
        <w:t xml:space="preserve"> </w:t>
      </w:r>
    </w:p>
    <w:p w14:paraId="22B04EA0">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根据</w:t>
      </w:r>
      <w:r>
        <w:rPr>
          <w:rFonts w:hint="eastAsia" w:ascii="Times New Roman" w:hAnsi="Times New Roman" w:eastAsia="仿宋" w:cs="Times New Roman"/>
          <w:sz w:val="28"/>
          <w:szCs w:val="28"/>
          <w:lang w:eastAsia="zh-CN"/>
        </w:rPr>
        <w:t>汾阳市</w:t>
      </w:r>
      <w:r>
        <w:rPr>
          <w:rFonts w:hint="default" w:ascii="Times New Roman" w:hAnsi="Times New Roman" w:eastAsia="仿宋" w:cs="Times New Roman"/>
          <w:sz w:val="28"/>
          <w:szCs w:val="28"/>
        </w:rPr>
        <w:t>饮用水水源地突发环境事件的污染物危害性、事态的紧急程度、采取的响应措施以及对取水可能造成的影响等实际情况，集中式饮用水源突发环境事件的预警分为黄色、橙色、红色。根据事态的发展情况和采取措施的效果，预警颜色可以升级、降级或解除。</w:t>
      </w:r>
    </w:p>
    <w:p w14:paraId="573DF29B">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当发布突发环境事件预警的人民政府调整预警级别并重新发布时，应急指挥办公室应同时调整相应的预警级别。预警信息的发布、调整和解除可通过广播、电视、报刊、通信、信息网络、报警器、宣传车或组织人员通知住户等方式进行，对老、幼、病、残、孕等特殊人群和警报自区应当采取有针对性的公告方式。</w:t>
      </w:r>
    </w:p>
    <w:p w14:paraId="5EA6273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textAlignment w:val="auto"/>
        <w:rPr>
          <w:rFonts w:hint="default" w:ascii="Times New Roman" w:hAnsi="Times New Roman" w:eastAsia="仿宋" w:cs="Times New Roman"/>
          <w:sz w:val="28"/>
          <w:szCs w:val="28"/>
          <w:lang w:val="en-US"/>
        </w:rPr>
      </w:pPr>
      <w:r>
        <w:rPr>
          <w:rFonts w:hint="default" w:ascii="Times New Roman" w:hAnsi="Times New Roman" w:eastAsia="仿宋" w:cs="Times New Roman"/>
          <w:sz w:val="28"/>
          <w:szCs w:val="28"/>
        </w:rPr>
        <w:t>黄色</w:t>
      </w:r>
      <w:r>
        <w:rPr>
          <w:rFonts w:hint="eastAsia" w:cs="Times New Roman"/>
          <w:sz w:val="28"/>
          <w:szCs w:val="28"/>
          <w:lang w:eastAsia="zh-CN"/>
        </w:rPr>
        <w:t>（</w:t>
      </w:r>
      <w:r>
        <w:rPr>
          <w:rFonts w:hint="default" w:ascii="Times New Roman" w:hAnsi="Times New Roman" w:eastAsia="仿宋" w:cs="Times New Roman"/>
          <w:sz w:val="28"/>
          <w:szCs w:val="28"/>
        </w:rPr>
        <w:t>Ⅲ级</w:t>
      </w:r>
      <w:r>
        <w:rPr>
          <w:rFonts w:hint="eastAsia" w:cs="Times New Roman"/>
          <w:sz w:val="28"/>
          <w:szCs w:val="28"/>
          <w:lang w:eastAsia="zh-CN"/>
        </w:rPr>
        <w:t>）</w:t>
      </w:r>
      <w:r>
        <w:rPr>
          <w:rFonts w:hint="default" w:ascii="Times New Roman" w:hAnsi="Times New Roman" w:eastAsia="仿宋" w:cs="Times New Roman"/>
          <w:sz w:val="28"/>
          <w:szCs w:val="28"/>
        </w:rPr>
        <w:t>预警</w:t>
      </w:r>
      <w:r>
        <w:rPr>
          <w:rFonts w:hint="eastAsia" w:cs="Times New Roman"/>
          <w:sz w:val="28"/>
          <w:szCs w:val="28"/>
          <w:lang w:eastAsia="zh-CN"/>
        </w:rPr>
        <w:t>：</w:t>
      </w:r>
      <w:r>
        <w:rPr>
          <w:rFonts w:hint="eastAsia" w:cs="Times New Roman"/>
          <w:sz w:val="28"/>
          <w:szCs w:val="28"/>
          <w:lang w:val="en-US" w:eastAsia="zh-CN"/>
        </w:rPr>
        <w:t>存在重大环境安全隐患，可能发生或者引发突发环境事件的；或事件已经发生，可能进一步扩大影响范围，可能对饮用水源保护区造成影响。</w:t>
      </w:r>
    </w:p>
    <w:p w14:paraId="516DD518">
      <w:pPr>
        <w:bidi w:val="0"/>
        <w:rPr>
          <w:rFonts w:hint="default"/>
        </w:rPr>
      </w:pPr>
      <w:r>
        <w:rPr>
          <w:rFonts w:hint="default"/>
        </w:rPr>
        <w:t>橙色</w:t>
      </w:r>
      <w:r>
        <w:rPr>
          <w:rFonts w:hint="eastAsia"/>
          <w:lang w:eastAsia="zh-CN"/>
        </w:rPr>
        <w:t>（</w:t>
      </w:r>
      <w:r>
        <w:rPr>
          <w:rFonts w:hint="default" w:ascii="Times New Roman" w:hAnsi="Times New Roman" w:cs="Times New Roman"/>
          <w:lang w:val="en-US" w:eastAsia="zh-CN"/>
        </w:rPr>
        <w:t>Ⅱ</w:t>
      </w:r>
      <w:r>
        <w:rPr>
          <w:rFonts w:hint="default"/>
        </w:rPr>
        <w:t>级</w:t>
      </w:r>
      <w:r>
        <w:rPr>
          <w:rFonts w:hint="eastAsia"/>
          <w:lang w:eastAsia="zh-CN"/>
        </w:rPr>
        <w:t>）</w:t>
      </w:r>
      <w:r>
        <w:rPr>
          <w:rFonts w:hint="default"/>
        </w:rPr>
        <w:t>预警</w:t>
      </w:r>
      <w:r>
        <w:rPr>
          <w:rFonts w:hint="eastAsia"/>
          <w:lang w:eastAsia="zh-CN"/>
        </w:rPr>
        <w:t>：</w:t>
      </w:r>
      <w:r>
        <w:rPr>
          <w:rFonts w:hint="default"/>
        </w:rPr>
        <w:t>情况紧急，可能发生重大突发环境事件或事件已经发生，产生的环境污染</w:t>
      </w:r>
      <w:r>
        <w:rPr>
          <w:rFonts w:hint="eastAsia"/>
          <w:lang w:val="en-US" w:eastAsia="zh-CN"/>
        </w:rPr>
        <w:t>可能</w:t>
      </w:r>
      <w:r>
        <w:rPr>
          <w:rFonts w:hint="default"/>
        </w:rPr>
        <w:t>造成</w:t>
      </w:r>
      <w:r>
        <w:rPr>
          <w:rFonts w:hint="default" w:ascii="Times New Roman" w:hAnsi="Times New Roman" w:eastAsia="仿宋" w:cs="Times New Roman"/>
          <w:sz w:val="28"/>
          <w:szCs w:val="28"/>
        </w:rPr>
        <w:t>乡镇集中式饮用水水源地</w:t>
      </w:r>
      <w:r>
        <w:rPr>
          <w:rFonts w:hint="eastAsia" w:cs="Times New Roman"/>
          <w:sz w:val="28"/>
          <w:szCs w:val="28"/>
          <w:lang w:val="en-US" w:eastAsia="zh-CN"/>
        </w:rPr>
        <w:t>取水中断的</w:t>
      </w:r>
      <w:r>
        <w:rPr>
          <w:rFonts w:hint="default"/>
        </w:rPr>
        <w:t>。</w:t>
      </w:r>
    </w:p>
    <w:p w14:paraId="0A45BDD0">
      <w:pPr>
        <w:bidi w:val="0"/>
        <w:rPr>
          <w:rFonts w:hint="default" w:ascii="Times New Roman" w:hAnsi="Times New Roman" w:eastAsia="仿宋" w:cs="Times New Roman"/>
          <w:sz w:val="28"/>
          <w:szCs w:val="28"/>
        </w:rPr>
      </w:pPr>
      <w:r>
        <w:rPr>
          <w:rFonts w:hint="default"/>
        </w:rPr>
        <w:t>红色</w:t>
      </w:r>
      <w:r>
        <w:rPr>
          <w:rFonts w:hint="eastAsia"/>
          <w:lang w:eastAsia="zh-CN"/>
        </w:rPr>
        <w:t>（</w:t>
      </w:r>
      <w:r>
        <w:rPr>
          <w:rFonts w:hint="default"/>
        </w:rPr>
        <w:t>I级</w:t>
      </w:r>
      <w:r>
        <w:rPr>
          <w:rFonts w:hint="eastAsia"/>
          <w:lang w:eastAsia="zh-CN"/>
        </w:rPr>
        <w:t>）</w:t>
      </w:r>
      <w:r>
        <w:rPr>
          <w:rFonts w:hint="default"/>
        </w:rPr>
        <w:t>预警</w:t>
      </w:r>
      <w:r>
        <w:rPr>
          <w:rFonts w:hint="eastAsia"/>
          <w:lang w:eastAsia="zh-CN"/>
        </w:rPr>
        <w:t>：</w:t>
      </w:r>
      <w:r>
        <w:rPr>
          <w:rFonts w:hint="default" w:ascii="Times New Roman" w:hAnsi="Times New Roman" w:eastAsia="仿宋" w:cs="Times New Roman"/>
          <w:sz w:val="28"/>
          <w:szCs w:val="28"/>
        </w:rPr>
        <w:t>情况</w:t>
      </w:r>
      <w:r>
        <w:rPr>
          <w:rFonts w:hint="eastAsia" w:cs="Times New Roman"/>
          <w:sz w:val="28"/>
          <w:szCs w:val="28"/>
          <w:lang w:val="en-US" w:eastAsia="zh-CN"/>
        </w:rPr>
        <w:t>危急</w:t>
      </w:r>
      <w:r>
        <w:rPr>
          <w:rFonts w:hint="default" w:ascii="Times New Roman" w:hAnsi="Times New Roman" w:eastAsia="仿宋" w:cs="Times New Roman"/>
          <w:sz w:val="28"/>
          <w:szCs w:val="28"/>
        </w:rPr>
        <w:t>，可能发生或引发较大突发环境事件或事件已经发生，产生的环境污染造成乡镇集中式饮用水水源地取水中断的。</w:t>
      </w:r>
    </w:p>
    <w:p w14:paraId="0480651B">
      <w:pPr>
        <w:bidi w:val="0"/>
        <w:rPr>
          <w:rFonts w:hint="default"/>
        </w:rPr>
      </w:pPr>
      <w:r>
        <w:rPr>
          <w:rFonts w:hint="default"/>
        </w:rPr>
        <w:t>加强对突发环境事件相关信息监控监测，当可以预警的突发环境事件即将发生或者发生的可能性增大时，做好电视、广播、互联网、手机短信等信息发布，及时按照有关规定向社会发布避免、减轻突发环境事件危害的应急措施，个人防护方法。</w:t>
      </w:r>
    </w:p>
    <w:p w14:paraId="65F04CFF">
      <w:pPr>
        <w:pStyle w:val="4"/>
        <w:bidi w:val="0"/>
        <w:rPr>
          <w:rFonts w:hint="default"/>
        </w:rPr>
      </w:pPr>
      <w:bookmarkStart w:id="48" w:name="_Toc28583"/>
      <w:r>
        <w:rPr>
          <w:rFonts w:hint="default"/>
        </w:rPr>
        <w:t>4.4.</w:t>
      </w:r>
      <w:r>
        <w:rPr>
          <w:rFonts w:hint="default"/>
          <w:lang w:val="en-US" w:eastAsia="zh-CN"/>
        </w:rPr>
        <w:t>2</w:t>
      </w:r>
      <w:r>
        <w:rPr>
          <w:rFonts w:hint="default"/>
        </w:rPr>
        <w:t xml:space="preserve"> 发布预警和预警级别调整</w:t>
      </w:r>
      <w:bookmarkEnd w:id="48"/>
      <w:r>
        <w:rPr>
          <w:rFonts w:hint="default"/>
        </w:rPr>
        <w:t xml:space="preserve"> </w:t>
      </w:r>
    </w:p>
    <w:p w14:paraId="0B8A57B3">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负责对事件信息进行跟踪收集和研判，并根据达到的预警级别条件发布相应的预警，通报组织实施预警行动和应急处置行动的部门和单位。同时通过电视、微信、报纸、互联网、手机短信、当面告知等渠道或方式向</w:t>
      </w:r>
      <w:r>
        <w:rPr>
          <w:rFonts w:hint="eastAsia" w:ascii="Times New Roman" w:hAnsi="Times New Roman" w:eastAsia="仿宋" w:cs="Times New Roman"/>
          <w:sz w:val="28"/>
          <w:szCs w:val="28"/>
          <w:lang w:eastAsia="zh-CN"/>
        </w:rPr>
        <w:t>汾阳市</w:t>
      </w:r>
      <w:r>
        <w:rPr>
          <w:rFonts w:hint="default" w:ascii="Times New Roman" w:hAnsi="Times New Roman" w:eastAsia="仿宋" w:cs="Times New Roman"/>
          <w:sz w:val="28"/>
          <w:szCs w:val="28"/>
        </w:rPr>
        <w:t xml:space="preserve">公众发布预警信息，并通报可能影响到的相关地区。 </w:t>
      </w:r>
    </w:p>
    <w:p w14:paraId="3F6B27A1">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预警信息发布后，由应急指挥部根据事态发展、采取措施的效果，适时调整预警级别并再次发布。 </w:t>
      </w:r>
    </w:p>
    <w:p w14:paraId="4DAC2FB2">
      <w:pPr>
        <w:pStyle w:val="4"/>
        <w:bidi w:val="0"/>
        <w:rPr>
          <w:rFonts w:hint="default"/>
        </w:rPr>
      </w:pPr>
      <w:bookmarkStart w:id="49" w:name="_Toc27515"/>
      <w:r>
        <w:rPr>
          <w:rFonts w:hint="default"/>
        </w:rPr>
        <w:t>4.4.</w:t>
      </w:r>
      <w:r>
        <w:rPr>
          <w:rFonts w:hint="default"/>
          <w:lang w:val="en-US" w:eastAsia="zh-CN"/>
        </w:rPr>
        <w:t>3</w:t>
      </w:r>
      <w:r>
        <w:rPr>
          <w:rFonts w:hint="default"/>
        </w:rPr>
        <w:t xml:space="preserve"> 预警发布内容</w:t>
      </w:r>
      <w:bookmarkEnd w:id="49"/>
      <w:r>
        <w:rPr>
          <w:rFonts w:hint="default"/>
        </w:rPr>
        <w:t xml:space="preserve"> </w:t>
      </w:r>
    </w:p>
    <w:p w14:paraId="3FE0EE39">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预警发布的内容包括发布单位、发布时间、突发事件的类别、起始时间、影响人口（含影响时间）、可能影响的范围、预警级别、警示事项、事态发展、应采取的措施和咨询电话等。 </w:t>
      </w:r>
    </w:p>
    <w:p w14:paraId="1EEFC7FC">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应急组织指挥部应加强对预警信息动态管理，根据事态发展变化，适时调整预警级别，更新预警信息内容，并重新发布、报告和通报有关情况。 </w:t>
      </w:r>
    </w:p>
    <w:p w14:paraId="0507DF7F">
      <w:pPr>
        <w:pStyle w:val="4"/>
        <w:bidi w:val="0"/>
        <w:rPr>
          <w:rFonts w:hint="default"/>
        </w:rPr>
      </w:pPr>
      <w:bookmarkStart w:id="50" w:name="_Toc25192"/>
      <w:r>
        <w:rPr>
          <w:rFonts w:hint="default"/>
        </w:rPr>
        <w:t>4.4.</w:t>
      </w:r>
      <w:r>
        <w:rPr>
          <w:rFonts w:hint="default"/>
          <w:lang w:val="en-US" w:eastAsia="zh-CN"/>
        </w:rPr>
        <w:t>4</w:t>
      </w:r>
      <w:r>
        <w:rPr>
          <w:rFonts w:hint="default"/>
        </w:rPr>
        <w:t xml:space="preserve"> 预警行动</w:t>
      </w:r>
      <w:bookmarkEnd w:id="50"/>
      <w:r>
        <w:rPr>
          <w:rFonts w:hint="default"/>
        </w:rPr>
        <w:t xml:space="preserve"> </w:t>
      </w:r>
    </w:p>
    <w:p w14:paraId="48B3431B">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预警信息发布后，现场应急指挥部组织开展应急响应工作</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rPr>
        <w:t xml:space="preserve">在发布红色预警时，现场应急指挥部的总指挥应当到达现场指挥工作。 </w:t>
      </w:r>
    </w:p>
    <w:p w14:paraId="5BE578E6">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预警行动包含以下内容： </w:t>
      </w:r>
    </w:p>
    <w:p w14:paraId="1845FC22">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）启动应急预案；</w:t>
      </w:r>
    </w:p>
    <w:p w14:paraId="1E68143C">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（2）通知现场应急指挥部中的有关单位和人员做好应急准备，进入待命状态，必要时到达现场开展相关工作； </w:t>
      </w:r>
    </w:p>
    <w:p w14:paraId="3CDD5C6E">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 xml:space="preserve">）责令水源地供水单位进入待命状态，做好停止取水、深度处理、低压供水或启动备用水源等准备工作； </w:t>
      </w:r>
    </w:p>
    <w:p w14:paraId="1AB86FDB">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 xml:space="preserve">）加强信息监控，核实突发环境事件污染来源、进入水体的污染物种类和总量、污染扩散范围等信息； </w:t>
      </w:r>
    </w:p>
    <w:p w14:paraId="35C1B297">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 xml:space="preserve">）开展应急监测，对水源地水体加强监测，对可能导致水源地突发环境事件发生的相关企业事业单位和其它生产经营者加强环境监管； </w:t>
      </w:r>
    </w:p>
    <w:p w14:paraId="11E7865D">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rPr>
        <w:t>）依据不同预案情景和部门职责分工，上报</w:t>
      </w:r>
      <w:r>
        <w:rPr>
          <w:rFonts w:hint="eastAsia" w:cs="Times New Roman"/>
          <w:sz w:val="28"/>
          <w:szCs w:val="28"/>
          <w:lang w:eastAsia="zh-CN"/>
        </w:rPr>
        <w:t>相关部门</w:t>
      </w:r>
      <w:r>
        <w:rPr>
          <w:rFonts w:hint="default" w:ascii="Times New Roman" w:hAnsi="Times New Roman" w:eastAsia="仿宋" w:cs="Times New Roman"/>
          <w:sz w:val="28"/>
          <w:szCs w:val="28"/>
        </w:rPr>
        <w:t xml:space="preserve">和机构、由应急专家对预警信息进行溯源分析，预估可能影响的范围和危害程度； </w:t>
      </w:r>
    </w:p>
    <w:p w14:paraId="1722AA4D">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7</w:t>
      </w:r>
      <w:r>
        <w:rPr>
          <w:rFonts w:hint="default" w:ascii="Times New Roman" w:hAnsi="Times New Roman" w:eastAsia="仿宋" w:cs="Times New Roman"/>
          <w:sz w:val="28"/>
          <w:szCs w:val="28"/>
        </w:rPr>
        <w:t xml:space="preserve">）调集应急所需物资和设备，做好应急保障工作； </w:t>
      </w:r>
    </w:p>
    <w:p w14:paraId="3D75B9A8">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8</w:t>
      </w:r>
      <w:r>
        <w:rPr>
          <w:rFonts w:hint="default" w:ascii="Times New Roman" w:hAnsi="Times New Roman" w:eastAsia="仿宋" w:cs="Times New Roman"/>
          <w:sz w:val="28"/>
          <w:szCs w:val="28"/>
        </w:rPr>
        <w:t xml:space="preserve">）在危险区域设置提示或者警告标志； </w:t>
      </w:r>
    </w:p>
    <w:p w14:paraId="38A742A4">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9</w:t>
      </w:r>
      <w:r>
        <w:rPr>
          <w:rFonts w:hint="default" w:ascii="Times New Roman" w:hAnsi="Times New Roman" w:eastAsia="仿宋" w:cs="Times New Roman"/>
          <w:sz w:val="28"/>
          <w:szCs w:val="28"/>
        </w:rPr>
        <w:t xml:space="preserve">）责令应急救援队伍、负有特定职责的人员进入待命状态，动员后备人员做好应急救援准备，并开展先期处置； </w:t>
      </w:r>
    </w:p>
    <w:p w14:paraId="41A926E8">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10</w:t>
      </w:r>
      <w:r>
        <w:rPr>
          <w:rFonts w:hint="default" w:ascii="Times New Roman" w:hAnsi="Times New Roman" w:eastAsia="仿宋" w:cs="Times New Roman"/>
          <w:sz w:val="28"/>
          <w:szCs w:val="28"/>
        </w:rPr>
        <w:t xml:space="preserve">）必要时，及时上报管理部门，并通过电视、微信、报纸、互联网、手机短信等媒体向公众发布预警信息，并加强舆情监测，做好舆论引导和舆情应对工作。 </w:t>
      </w:r>
    </w:p>
    <w:p w14:paraId="3511E7A6">
      <w:pPr>
        <w:pStyle w:val="3"/>
        <w:bidi w:val="0"/>
        <w:rPr>
          <w:rFonts w:hint="default"/>
          <w:lang w:val="en-US" w:eastAsia="zh-CN"/>
        </w:rPr>
      </w:pPr>
      <w:bookmarkStart w:id="51" w:name="_Toc3239"/>
      <w:bookmarkStart w:id="52" w:name="_Toc21525"/>
      <w:r>
        <w:rPr>
          <w:rFonts w:hint="default"/>
          <w:lang w:val="en-US" w:eastAsia="zh-CN"/>
        </w:rPr>
        <w:t>4.5 预警解除</w:t>
      </w:r>
      <w:bookmarkEnd w:id="51"/>
      <w:bookmarkEnd w:id="52"/>
      <w:r>
        <w:rPr>
          <w:rFonts w:hint="default"/>
          <w:lang w:val="en-US" w:eastAsia="zh-CN"/>
        </w:rPr>
        <w:t xml:space="preserve"> </w:t>
      </w:r>
    </w:p>
    <w:p w14:paraId="4A1E96D3">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当突发环境事件条件已经排除、污染物质已降至规定限值以内、所造成的危害基本消除时，由应急组织指挥机构宣布解除预警，终止已经采取的有关行动和措施。 </w:t>
      </w:r>
    </w:p>
    <w:p w14:paraId="05EDE2F5">
      <w:pPr>
        <w:pStyle w:val="3"/>
        <w:bidi w:val="0"/>
        <w:rPr>
          <w:rFonts w:hint="default"/>
          <w:lang w:val="en-US" w:eastAsia="zh-CN"/>
        </w:rPr>
      </w:pPr>
      <w:bookmarkStart w:id="53" w:name="_Toc14112"/>
      <w:bookmarkStart w:id="54" w:name="_Toc31397"/>
      <w:r>
        <w:rPr>
          <w:rFonts w:hint="default"/>
          <w:lang w:val="en-US" w:eastAsia="zh-CN"/>
        </w:rPr>
        <w:t>4.6 信息报告与通报</w:t>
      </w:r>
      <w:bookmarkEnd w:id="53"/>
      <w:bookmarkEnd w:id="54"/>
      <w:r>
        <w:rPr>
          <w:rFonts w:hint="default"/>
          <w:lang w:val="en-US" w:eastAsia="zh-CN"/>
        </w:rPr>
        <w:t xml:space="preserve"> </w:t>
      </w:r>
    </w:p>
    <w:p w14:paraId="613FC3F9">
      <w:pPr>
        <w:pStyle w:val="4"/>
        <w:bidi w:val="0"/>
        <w:rPr>
          <w:rFonts w:hint="default"/>
        </w:rPr>
      </w:pPr>
      <w:bookmarkStart w:id="55" w:name="_Toc22368"/>
      <w:r>
        <w:rPr>
          <w:rFonts w:hint="default"/>
        </w:rPr>
        <w:t>4.</w:t>
      </w:r>
      <w:r>
        <w:rPr>
          <w:rFonts w:hint="default"/>
          <w:lang w:val="en-US" w:eastAsia="zh-CN"/>
        </w:rPr>
        <w:t>6</w:t>
      </w:r>
      <w:r>
        <w:rPr>
          <w:rFonts w:hint="default"/>
        </w:rPr>
        <w:t>.1 信息报告程序</w:t>
      </w:r>
      <w:bookmarkEnd w:id="55"/>
      <w:r>
        <w:rPr>
          <w:rFonts w:hint="default"/>
        </w:rPr>
        <w:t xml:space="preserve"> </w:t>
      </w:r>
    </w:p>
    <w:p w14:paraId="3E8C5B31">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）发现已经造成或者可能造成水源地污染的有关人员和责任单位，应立即向</w:t>
      </w: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办公室报告</w:t>
      </w:r>
      <w:r>
        <w:rPr>
          <w:rFonts w:hint="eastAsia" w:cs="Times New Roman"/>
          <w:sz w:val="28"/>
          <w:szCs w:val="28"/>
          <w:lang w:eastAsia="zh-CN"/>
        </w:rPr>
        <w:t>，</w:t>
      </w:r>
      <w:r>
        <w:rPr>
          <w:rFonts w:hint="eastAsia" w:cs="Times New Roman"/>
          <w:sz w:val="28"/>
          <w:szCs w:val="28"/>
          <w:lang w:val="en-US" w:eastAsia="zh-CN"/>
        </w:rPr>
        <w:t>不得瞒报、谎报，初次报告最迟不得超过1小时</w:t>
      </w:r>
      <w:r>
        <w:rPr>
          <w:rFonts w:hint="default" w:ascii="Times New Roman" w:hAnsi="Times New Roman" w:eastAsia="仿宋" w:cs="Times New Roman"/>
          <w:sz w:val="28"/>
          <w:szCs w:val="28"/>
        </w:rPr>
        <w:t xml:space="preserve">。 </w:t>
      </w:r>
    </w:p>
    <w:p w14:paraId="341D08E4">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w:t>
      </w: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办公室在发现或者得知水源地突发环境事件信息后，应立即进行核实，了解相关情况。经核实后，第一时间向</w:t>
      </w: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和</w:t>
      </w:r>
      <w:r>
        <w:rPr>
          <w:rFonts w:hint="eastAsia" w:cs="Times New Roman"/>
          <w:sz w:val="28"/>
          <w:szCs w:val="28"/>
          <w:lang w:val="en-US" w:eastAsia="zh-CN"/>
        </w:rPr>
        <w:t>吕梁市生态环境局汾阳分局</w:t>
      </w:r>
      <w:r>
        <w:rPr>
          <w:rFonts w:hint="default" w:ascii="Times New Roman" w:hAnsi="Times New Roman" w:eastAsia="仿宋" w:cs="Times New Roman"/>
          <w:sz w:val="28"/>
          <w:szCs w:val="28"/>
        </w:rPr>
        <w:t xml:space="preserve">报告。 </w:t>
      </w:r>
    </w:p>
    <w:p w14:paraId="37B7D663">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）国家、省、市生态环境部门先于</w:t>
      </w:r>
      <w:r>
        <w:rPr>
          <w:rFonts w:hint="eastAsia" w:ascii="Times New Roman" w:hAnsi="Times New Roman" w:eastAsia="仿宋" w:cs="Times New Roman"/>
          <w:sz w:val="28"/>
          <w:szCs w:val="28"/>
          <w:lang w:eastAsia="zh-CN"/>
        </w:rPr>
        <w:t>吕梁市生态环境局汾阳分局</w:t>
      </w:r>
      <w:r>
        <w:rPr>
          <w:rFonts w:hint="default" w:ascii="Times New Roman" w:hAnsi="Times New Roman" w:eastAsia="仿宋" w:cs="Times New Roman"/>
          <w:sz w:val="28"/>
          <w:szCs w:val="28"/>
        </w:rPr>
        <w:t>获悉水源地突发环境事件信息的，可要求</w:t>
      </w:r>
      <w:r>
        <w:rPr>
          <w:rFonts w:hint="eastAsia" w:ascii="Times New Roman" w:hAnsi="Times New Roman" w:eastAsia="仿宋" w:cs="Times New Roman"/>
          <w:sz w:val="28"/>
          <w:szCs w:val="28"/>
          <w:lang w:eastAsia="zh-CN"/>
        </w:rPr>
        <w:t>吕梁市生态环境局汾阳分局</w:t>
      </w:r>
      <w:r>
        <w:rPr>
          <w:rFonts w:hint="default" w:ascii="Times New Roman" w:hAnsi="Times New Roman" w:eastAsia="仿宋" w:cs="Times New Roman"/>
          <w:sz w:val="28"/>
          <w:szCs w:val="28"/>
        </w:rPr>
        <w:t xml:space="preserve">核实相应信息。 </w:t>
      </w:r>
    </w:p>
    <w:p w14:paraId="5D588588">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 xml:space="preserve">）特殊情况下，若遇到敏感事件或发生在重点地区、特殊时期，或可能演化为重大、特别重大突发环境事件的信息，不受报送程序限制，相关责任单位和有关职能部门要立即向本级水源地应急指挥部报告。 </w:t>
      </w:r>
    </w:p>
    <w:p w14:paraId="481FE59B">
      <w:pPr>
        <w:pStyle w:val="4"/>
        <w:bidi w:val="0"/>
        <w:rPr>
          <w:rFonts w:hint="default"/>
          <w:lang w:val="en-US" w:eastAsia="zh-CN"/>
        </w:rPr>
      </w:pPr>
      <w:bookmarkStart w:id="56" w:name="_Toc18015"/>
      <w:r>
        <w:rPr>
          <w:rFonts w:hint="default"/>
          <w:lang w:val="en-US" w:eastAsia="zh-CN"/>
        </w:rPr>
        <w:t>4.6.2 信息通报程序</w:t>
      </w:r>
      <w:bookmarkEnd w:id="56"/>
    </w:p>
    <w:p w14:paraId="2821F616">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对于经核实后的水源地突发环境事件，接报的单位应向</w:t>
      </w: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和</w:t>
      </w:r>
      <w:r>
        <w:rPr>
          <w:rFonts w:hint="eastAsia" w:ascii="Times New Roman" w:hAnsi="Times New Roman" w:cs="Times New Roman"/>
          <w:sz w:val="28"/>
          <w:szCs w:val="28"/>
          <w:lang w:eastAsia="zh-CN"/>
        </w:rPr>
        <w:t>汾阳市</w:t>
      </w:r>
      <w:r>
        <w:rPr>
          <w:rFonts w:hint="eastAsia" w:cs="Times New Roman"/>
          <w:sz w:val="28"/>
          <w:szCs w:val="28"/>
          <w:lang w:eastAsia="zh-CN"/>
        </w:rPr>
        <w:t>相关部门</w:t>
      </w:r>
      <w:r>
        <w:rPr>
          <w:rFonts w:hint="default" w:ascii="Times New Roman" w:hAnsi="Times New Roman" w:eastAsia="仿宋" w:cs="Times New Roman"/>
          <w:sz w:val="28"/>
          <w:szCs w:val="28"/>
        </w:rPr>
        <w:t xml:space="preserve">通报。通报的部门至少应包括生态环境、供水管理（住建或水务）、卫生、水行政等部门；根据水源地突发环境事件的类型和情景，还应通报消防（遇火灾爆炸）、交通（遇水上运输事故）、公安（遇火灾爆炸、道路运输事故）、应急、农业（遇大面积死鱼）等部门。 </w:t>
      </w:r>
    </w:p>
    <w:p w14:paraId="48E4B800">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水源地突发环境事件已经或可能影响相邻行政区域的，</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人民政府及</w:t>
      </w:r>
      <w:r>
        <w:rPr>
          <w:rFonts w:hint="eastAsia" w:cs="Times New Roman"/>
          <w:sz w:val="28"/>
          <w:szCs w:val="28"/>
          <w:lang w:eastAsia="zh-CN"/>
        </w:rPr>
        <w:t>相关部门</w:t>
      </w:r>
      <w:r>
        <w:rPr>
          <w:rFonts w:hint="default" w:ascii="Times New Roman" w:hAnsi="Times New Roman" w:eastAsia="仿宋" w:cs="Times New Roman"/>
          <w:sz w:val="28"/>
          <w:szCs w:val="28"/>
        </w:rPr>
        <w:t>应及时通报相邻区域同级人民政府及</w:t>
      </w:r>
      <w:r>
        <w:rPr>
          <w:rFonts w:hint="eastAsia" w:cs="Times New Roman"/>
          <w:sz w:val="28"/>
          <w:szCs w:val="28"/>
          <w:lang w:eastAsia="zh-CN"/>
        </w:rPr>
        <w:t>相关部门</w:t>
      </w:r>
      <w:r>
        <w:rPr>
          <w:rFonts w:hint="default" w:ascii="Times New Roman" w:hAnsi="Times New Roman" w:eastAsia="仿宋" w:cs="Times New Roman"/>
          <w:sz w:val="28"/>
          <w:szCs w:val="28"/>
        </w:rPr>
        <w:t xml:space="preserve">。 </w:t>
      </w:r>
    </w:p>
    <w:p w14:paraId="7DA7CF78">
      <w:pPr>
        <w:pStyle w:val="4"/>
        <w:bidi w:val="0"/>
        <w:rPr>
          <w:rFonts w:hint="default"/>
        </w:rPr>
      </w:pPr>
      <w:bookmarkStart w:id="57" w:name="_Toc18051"/>
      <w:r>
        <w:rPr>
          <w:rFonts w:hint="default"/>
        </w:rPr>
        <w:t>4.</w:t>
      </w:r>
      <w:r>
        <w:rPr>
          <w:rFonts w:hint="default"/>
          <w:lang w:val="en-US" w:eastAsia="zh-CN"/>
        </w:rPr>
        <w:t>6</w:t>
      </w:r>
      <w:r>
        <w:rPr>
          <w:rFonts w:hint="default"/>
        </w:rPr>
        <w:t>.3 信息报告和通报内容</w:t>
      </w:r>
      <w:bookmarkEnd w:id="57"/>
      <w:r>
        <w:rPr>
          <w:rFonts w:hint="default"/>
        </w:rPr>
        <w:t xml:space="preserve"> </w:t>
      </w:r>
    </w:p>
    <w:p w14:paraId="6AB78FF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按照不同的时间节点，水源地突发环境事件的报告和通报分为初报、续报和处理结果报告。初报是发现或得知突发环境事件后首次报告；续报在查清有关基本情况、事件发展情况后的报告；处理结果报告是在突发环境事件处理完毕后的报告。</w:t>
      </w:r>
    </w:p>
    <w:p w14:paraId="34E0088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 xml:space="preserve">）初报应当报告水源地突发环境事件的发生时间、地点、信息来源、事件起因和性质、基本过程、主要污染物和数量、监测结果、人员受害情况、饮用水水源地受影响情况、事件发展趋势、处置情况、拟采取的措施以及下一步工作建议等初步情况。 </w:t>
      </w:r>
    </w:p>
    <w:p w14:paraId="7BBACDB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 xml:space="preserve">）续报应在初报基本信息的基础上，报告有关处置进展情况。 </w:t>
      </w:r>
    </w:p>
    <w:p w14:paraId="51C8C4C9">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 xml:space="preserve">）处理结果报告应在初报和续报的基础上，报告处理突发环境事件的措施、过程和结果，突发环境事件潜在或者间接危害以及损失、社会影响、处理后的遗留问题、责任追究等详细情况。 </w:t>
      </w:r>
    </w:p>
    <w:p w14:paraId="1F6AC00E">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水源地突发环境事件信息应当采用传真、网络、邮寄或面呈等方式书面报告；情况紧急时，初报可通过电话报告，但应当及时补充书面报告材料。书面报告中应当说明突发环境事件报告单位、报告签发人、联系人及联系方式等内容，并尽可能提供地图、图片以及相关的多媒体资料。 </w:t>
      </w:r>
    </w:p>
    <w:p w14:paraId="79F8E995">
      <w:pPr>
        <w:pStyle w:val="3"/>
        <w:bidi w:val="0"/>
        <w:rPr>
          <w:rFonts w:hint="default"/>
          <w:lang w:val="en-US" w:eastAsia="zh-CN"/>
        </w:rPr>
      </w:pPr>
      <w:bookmarkStart w:id="58" w:name="_Toc22856"/>
      <w:bookmarkStart w:id="59" w:name="_Toc2208"/>
      <w:r>
        <w:rPr>
          <w:rFonts w:hint="default"/>
          <w:lang w:val="en-US" w:eastAsia="zh-CN"/>
        </w:rPr>
        <w:t>4.7应急监测</w:t>
      </w:r>
      <w:bookmarkEnd w:id="58"/>
      <w:bookmarkEnd w:id="59"/>
      <w:r>
        <w:rPr>
          <w:rFonts w:hint="default"/>
          <w:lang w:val="en-US" w:eastAsia="zh-CN"/>
        </w:rPr>
        <w:t xml:space="preserve"> </w:t>
      </w:r>
    </w:p>
    <w:p w14:paraId="58DCB38F">
      <w:pPr>
        <w:pStyle w:val="4"/>
        <w:bidi w:val="0"/>
        <w:rPr>
          <w:rFonts w:hint="default"/>
        </w:rPr>
      </w:pPr>
      <w:bookmarkStart w:id="60" w:name="_Toc15577"/>
      <w:r>
        <w:rPr>
          <w:rFonts w:hint="default"/>
          <w:lang w:val="en-US" w:eastAsia="zh-CN"/>
        </w:rPr>
        <w:t>4.7.1</w:t>
      </w:r>
      <w:r>
        <w:rPr>
          <w:rFonts w:hint="default"/>
        </w:rPr>
        <w:t>开展应急监测程序</w:t>
      </w:r>
      <w:bookmarkEnd w:id="60"/>
      <w:r>
        <w:rPr>
          <w:rFonts w:hint="default"/>
        </w:rPr>
        <w:t xml:space="preserve"> </w:t>
      </w:r>
    </w:p>
    <w:p w14:paraId="7572C6E4">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事件处置初期，</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 xml:space="preserve">水源地应急指挥部组织应急监测组根据现场实际情况制定监测方案、设置监测点位（断面）、确定监测频次、组织开展监测、形成监测报告，第一时间向现场应急指挥部报告监测结果和污染浓度变化态势图，并安排人员对突发环境事件监测情况进行全过程记录。 </w:t>
      </w:r>
    </w:p>
    <w:p w14:paraId="6F84761C">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事件处置中期，根据事态发展，如上游来水量、应急处置措施效果等情况，适时调整监测点位（断面）和监测频次。 </w:t>
      </w:r>
    </w:p>
    <w:p w14:paraId="4FB40F2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事件处置末期，应按照现场应急指挥部命令，停止应急监测，并向现场应急指挥部提交应急监测总结报告。 </w:t>
      </w:r>
    </w:p>
    <w:p w14:paraId="25C86C3B">
      <w:pPr>
        <w:pStyle w:val="4"/>
        <w:bidi w:val="0"/>
        <w:rPr>
          <w:rFonts w:hint="default"/>
          <w:lang w:val="en-US" w:eastAsia="zh-CN"/>
        </w:rPr>
      </w:pPr>
      <w:bookmarkStart w:id="61" w:name="_Toc10735"/>
      <w:r>
        <w:rPr>
          <w:rFonts w:hint="default"/>
          <w:lang w:val="en-US" w:eastAsia="zh-CN"/>
        </w:rPr>
        <w:t>4.7.2制定应急监测方案</w:t>
      </w:r>
      <w:bookmarkEnd w:id="61"/>
      <w:r>
        <w:rPr>
          <w:rFonts w:hint="default"/>
          <w:lang w:val="en-US" w:eastAsia="zh-CN"/>
        </w:rPr>
        <w:t xml:space="preserve"> </w:t>
      </w:r>
    </w:p>
    <w:p w14:paraId="22896CBF">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应急监测方案应包括依据的技术规范、实施人员、布点原则、采样频次和注意事项，监测结果记录和报告方式等。应急监测方案应包括以下内容：</w:t>
      </w:r>
    </w:p>
    <w:p w14:paraId="2AD4B877">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（1）确定监测范围</w:t>
      </w:r>
    </w:p>
    <w:p w14:paraId="1D2DA57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应尽量涵盖水源地突发环境事件的污染范围，并包括事件可能影响区域和污染物本底浓度的监测区域。</w:t>
      </w:r>
    </w:p>
    <w:p w14:paraId="5347D47B">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（2）布设监测点位和确定频次</w:t>
      </w:r>
    </w:p>
    <w:p w14:paraId="18BE310A">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监测点位布设。采样点的布设以水源地突发环境事件发生地点为中心或源头，结合水文和地形条件，在其扩散方向合理布点，上风向适当布设对照点位作为环境背景参照。必要时咨询专家意见。</w:t>
      </w:r>
    </w:p>
    <w:p w14:paraId="458CB3E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采样频次确定。应采取不同点位（断面）相同间隔时间（一般为1小时）同步采样监测方式，动态监控污染带移动过程，主要根据污染状况、不同的环境区域功能和事件发生地的污染实际情况来确定。距离水源地突发环境事件发生时间越短，采样频次应越高。当发生突发事件时，做到及时到达现场、及时测出数据、及时提供可靠权威信息,根据污染具体情况,实施动态跟踪监测、水质水量同步监测手段。</w:t>
      </w:r>
    </w:p>
    <w:p w14:paraId="4BBC04D7">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（3）现场采样</w:t>
      </w:r>
    </w:p>
    <w:p w14:paraId="3D33B603">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采样和监测人员应根据水源地突发环境事件泄漏物的理化性质采取必要的防护措施，如防毒口罩、耐酸碱防毒手套、防酸碱长筒靴等，做好自身防护工作。</w:t>
      </w:r>
    </w:p>
    <w:p w14:paraId="59A802F8">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（4）确定监测项目</w:t>
      </w:r>
    </w:p>
    <w:p w14:paraId="1073656F">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①对于流动源污染，可以通过询问当事人、查看运载记录或者从移动载体泄漏物中获得可能产生的污染物信息来确定监测项目；</w:t>
      </w:r>
    </w:p>
    <w:p w14:paraId="33DFA7E4">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②对于未知源污染，监测项目的确定须从事件的现场特征入手，结合事件周边的交通及地理环境现状进行综合分析来确定监测项目。必要时咨询专家组意见。</w:t>
      </w:r>
    </w:p>
    <w:p w14:paraId="13792683">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（5）分析方法</w:t>
      </w:r>
    </w:p>
    <w:p w14:paraId="5CF3C076">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具备现场监测条件的监测项目，应尽量在现场监测。必要时，备份样品送实验室监（复）测，以确认现场定性或定量监测结果的准确性。</w:t>
      </w:r>
    </w:p>
    <w:p w14:paraId="055A64E8">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现场采样方法及采样量、现场监测仪器和分析方法应参照相应的监测技术规范和有关标准，并做好质量控制和保证及记录工作。</w:t>
      </w:r>
    </w:p>
    <w:p w14:paraId="28D68928">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（6）监测数据的整理分析和上报</w:t>
      </w:r>
    </w:p>
    <w:p w14:paraId="05BC35B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应本着及时、快速报送的原则，以电话、传真、监测快报等形式立即上报给汾阳市</w:t>
      </w:r>
      <w:r>
        <w:rPr>
          <w:rFonts w:hint="eastAsia" w:cs="Times New Roman"/>
          <w:sz w:val="28"/>
          <w:szCs w:val="28"/>
          <w:lang w:val="en-US" w:eastAsia="zh-CN"/>
        </w:rPr>
        <w:t>10</w:t>
      </w:r>
      <w:r>
        <w:rPr>
          <w:rFonts w:hint="default" w:ascii="Times New Roman" w:hAnsi="Times New Roman" w:eastAsia="仿宋" w:cs="Times New Roman"/>
          <w:sz w:val="28"/>
          <w:szCs w:val="28"/>
        </w:rPr>
        <w:t>处</w:t>
      </w:r>
      <w:r>
        <w:rPr>
          <w:rFonts w:hint="eastAsia" w:cs="Times New Roman"/>
          <w:sz w:val="28"/>
          <w:szCs w:val="28"/>
          <w:lang w:val="en-US" w:eastAsia="zh-CN"/>
        </w:rPr>
        <w:t>乡镇集中式</w:t>
      </w:r>
      <w:r>
        <w:rPr>
          <w:rFonts w:hint="default" w:ascii="Times New Roman" w:hAnsi="Times New Roman" w:eastAsia="仿宋" w:cs="Times New Roman"/>
          <w:sz w:val="28"/>
          <w:szCs w:val="28"/>
        </w:rPr>
        <w:t>饮用水水源应急指挥中心，作为决策的依据。</w:t>
      </w:r>
    </w:p>
    <w:p w14:paraId="11A00111">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各乡镇人民政府负责水质监测，一旦发现有污染物超标的情况，立即向吕梁市生态环境局汾阳分局汇报，环保部门根据上报的监测数据进行分析，辨析污染物超标的原因。 </w:t>
      </w:r>
    </w:p>
    <w:p w14:paraId="32D98B05">
      <w:pPr>
        <w:pStyle w:val="3"/>
        <w:bidi w:val="0"/>
        <w:rPr>
          <w:rFonts w:hint="default"/>
          <w:lang w:val="en-US" w:eastAsia="zh-CN"/>
        </w:rPr>
      </w:pPr>
      <w:bookmarkStart w:id="62" w:name="_Toc6427"/>
      <w:bookmarkStart w:id="63" w:name="_Toc7366"/>
      <w:r>
        <w:rPr>
          <w:rFonts w:hint="default"/>
          <w:lang w:val="en-US" w:eastAsia="zh-CN"/>
        </w:rPr>
        <w:t>4.8 溯源分析</w:t>
      </w:r>
      <w:bookmarkEnd w:id="62"/>
      <w:bookmarkEnd w:id="63"/>
      <w:r>
        <w:rPr>
          <w:rFonts w:hint="default"/>
          <w:lang w:val="en-US" w:eastAsia="zh-CN"/>
        </w:rPr>
        <w:t xml:space="preserve"> </w:t>
      </w:r>
    </w:p>
    <w:p w14:paraId="386D48FE">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left"/>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rPr>
        <w:t>当水质监测发现异常、污染物来源不确定时，应急监测组</w:t>
      </w:r>
      <w:r>
        <w:rPr>
          <w:rFonts w:hint="eastAsia" w:ascii="Times New Roman" w:hAnsi="Times New Roman" w:eastAsia="仿宋" w:cs="Times New Roman"/>
          <w:sz w:val="28"/>
          <w:szCs w:val="28"/>
          <w:lang w:val="en-US" w:eastAsia="zh-CN"/>
        </w:rPr>
        <w:t>牵头单位吕梁市生态环境局汾阳分局</w:t>
      </w:r>
      <w:r>
        <w:rPr>
          <w:rFonts w:hint="default" w:ascii="Times New Roman" w:hAnsi="Times New Roman" w:eastAsia="仿宋" w:cs="Times New Roman"/>
          <w:sz w:val="28"/>
          <w:szCs w:val="28"/>
        </w:rPr>
        <w:t>应立即根据特征污染物种类、浓度变化、释放总量、释放路径、释放时间，以及当时的水文和气象条件，迅速组织开展污染源排查。针对不同类型污染物的排查重点和对象如下。</w:t>
      </w:r>
      <w:r>
        <w:rPr>
          <w:rFonts w:hint="eastAsia" w:ascii="Times New Roman" w:hAnsi="Times New Roman" w:eastAsia="仿宋" w:cs="Times New Roman"/>
          <w:sz w:val="28"/>
          <w:szCs w:val="28"/>
          <w:lang w:val="en-US" w:eastAsia="zh-CN"/>
        </w:rPr>
        <w:t>牵头单位负责人及联系电话见表3-1。</w:t>
      </w:r>
    </w:p>
    <w:p w14:paraId="08550E88">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left"/>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（1）有机类污染：溯源的重点排查对象为生活污水处理厂、大型工业企业，调查污水处理设施运行、尾水排放的异常状况。 </w:t>
      </w:r>
    </w:p>
    <w:p w14:paraId="0CE22313">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left"/>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 xml:space="preserve">）营养盐类污染：溯源的重点排查对象为城镇生活污水处理厂、畜禽养殖场（户）、农田种植户、农村居民点、医疗场所等，调查污水处理设施运行、养殖废物处理处置、农药化肥施用、农村生活污染、医疗废水处理及消毒设施的异常状况。 </w:t>
      </w:r>
    </w:p>
    <w:p w14:paraId="624F0EA6">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）细菌类污染：溯源的重点排查对象为生活污水处理厂、畜禽养殖场（户）、农村居民点，调查污水处理设施运行、养殖废物处理处置、农村生活污染的异常状况。</w:t>
      </w:r>
    </w:p>
    <w:p w14:paraId="2524941D">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 xml:space="preserve">）农药类污染：溯源的重点排查对象为果园种植园/ 户、农灌尾水排放口，调查农药施用和流失的异常状况。 </w:t>
      </w:r>
    </w:p>
    <w:p w14:paraId="69B63C35">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）石油类污染：溯源的重点排查对象为涉及道路交通运输的加油站、运输车辆以及油气管线，调查上述石油类物质运输或储存设施的异常状况。</w:t>
      </w:r>
    </w:p>
    <w:p w14:paraId="7D0E045B">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rPr>
        <w:t>）重金属及其它有毒有害物质污染：溯源的重点排查对象为大型工业企业、危险废物储存单位等，调查上述单位的异常状况。</w:t>
      </w:r>
    </w:p>
    <w:p w14:paraId="3E59B509">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eastAsia="zh-CN"/>
        </w:rPr>
        <w:t>（</w:t>
      </w:r>
      <w:r>
        <w:rPr>
          <w:rFonts w:hint="eastAsia" w:ascii="Times New Roman" w:hAnsi="Times New Roman" w:eastAsia="仿宋" w:cs="Times New Roman"/>
          <w:sz w:val="28"/>
          <w:szCs w:val="28"/>
          <w:lang w:val="en-US" w:eastAsia="zh-CN"/>
        </w:rPr>
        <w:t>7</w:t>
      </w:r>
      <w:r>
        <w:rPr>
          <w:rFonts w:hint="eastAsia" w:ascii="Times New Roman" w:hAnsi="Times New Roman" w:eastAsia="仿宋" w:cs="Times New Roman"/>
          <w:sz w:val="28"/>
          <w:szCs w:val="28"/>
          <w:lang w:eastAsia="zh-CN"/>
        </w:rPr>
        <w:t>）</w:t>
      </w:r>
      <w:r>
        <w:rPr>
          <w:rFonts w:hint="eastAsia" w:ascii="Times New Roman" w:hAnsi="Times New Roman" w:eastAsia="仿宋" w:cs="Times New Roman"/>
          <w:sz w:val="28"/>
          <w:szCs w:val="28"/>
          <w:lang w:val="en-US" w:eastAsia="zh-CN"/>
        </w:rPr>
        <w:t>当潜水型水源地</w:t>
      </w:r>
      <w:r>
        <w:rPr>
          <w:rFonts w:hint="default" w:ascii="Times New Roman" w:hAnsi="Times New Roman" w:eastAsia="仿宋" w:cs="Times New Roman"/>
          <w:sz w:val="28"/>
          <w:szCs w:val="28"/>
        </w:rPr>
        <w:t>水质监测发现异常、污染物来源不确定时</w:t>
      </w:r>
      <w:r>
        <w:rPr>
          <w:rFonts w:hint="eastAsia" w:ascii="Times New Roman" w:hAnsi="Times New Roman" w:eastAsia="仿宋" w:cs="Times New Roman"/>
          <w:sz w:val="28"/>
          <w:szCs w:val="28"/>
          <w:lang w:eastAsia="zh-CN"/>
        </w:rPr>
        <w:t>，</w:t>
      </w:r>
      <w:r>
        <w:rPr>
          <w:rFonts w:hint="eastAsia" w:ascii="Times New Roman" w:hAnsi="Times New Roman" w:eastAsia="仿宋" w:cs="Times New Roman"/>
          <w:sz w:val="28"/>
          <w:szCs w:val="28"/>
          <w:lang w:val="en-US" w:eastAsia="zh-CN"/>
        </w:rPr>
        <w:t>需</w:t>
      </w:r>
      <w:r>
        <w:rPr>
          <w:rFonts w:hint="eastAsia" w:ascii="Times New Roman" w:hAnsi="Times New Roman" w:eastAsia="仿宋" w:cs="Times New Roman"/>
          <w:sz w:val="28"/>
          <w:szCs w:val="28"/>
          <w:lang w:eastAsia="zh-CN"/>
        </w:rPr>
        <w:t>关注河流侧向补给及上游入河排污口是否存在超标排放。</w:t>
      </w:r>
    </w:p>
    <w:p w14:paraId="29236406">
      <w:pPr>
        <w:pStyle w:val="3"/>
        <w:bidi w:val="0"/>
        <w:rPr>
          <w:rFonts w:hint="default"/>
          <w:lang w:val="en-US" w:eastAsia="zh-CN"/>
        </w:rPr>
      </w:pPr>
      <w:bookmarkStart w:id="64" w:name="_Toc26717"/>
      <w:bookmarkStart w:id="65" w:name="_Toc27968"/>
      <w:r>
        <w:rPr>
          <w:rFonts w:hint="default"/>
          <w:lang w:val="en-US" w:eastAsia="zh-CN"/>
        </w:rPr>
        <w:t>4.9先期处置</w:t>
      </w:r>
      <w:bookmarkEnd w:id="64"/>
      <w:bookmarkEnd w:id="65"/>
    </w:p>
    <w:p w14:paraId="2EF2C978">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集中式饮用水水源地突发环境事件发生后，涉事企事业单位或其他生产经营者要立即组织力量进行先行处置，根据事件严重程度和污染物性质，采取必要的关闭、停产、封堵、围挡、吸附、稀释、转移等措施，迅速切断和控制污染源，防止污染蔓延扩散。做好有毒有害物质和消防废水、废液等的收集、清理和安全处置工作。加强对事件现场的监视、控制，立即向</w:t>
      </w:r>
      <w:r>
        <w:rPr>
          <w:rFonts w:hint="eastAsia" w:cs="Times New Roman"/>
          <w:sz w:val="28"/>
          <w:szCs w:val="28"/>
          <w:lang w:val="en-US" w:eastAsia="zh-CN"/>
        </w:rPr>
        <w:t>相关部门</w:t>
      </w:r>
      <w:r>
        <w:rPr>
          <w:rFonts w:hint="default" w:ascii="Times New Roman" w:hAnsi="Times New Roman" w:eastAsia="仿宋" w:cs="Times New Roman"/>
          <w:sz w:val="28"/>
          <w:szCs w:val="28"/>
          <w:lang w:val="en-US" w:eastAsia="zh-CN"/>
        </w:rPr>
        <w:t>和</w:t>
      </w:r>
      <w:r>
        <w:rPr>
          <w:rFonts w:hint="eastAsia" w:cs="Times New Roman"/>
          <w:sz w:val="28"/>
          <w:szCs w:val="28"/>
          <w:lang w:val="en-US" w:eastAsia="zh-CN"/>
        </w:rPr>
        <w:t>汾阳市10处乡镇集中式饮用水水源地应急指挥部</w:t>
      </w:r>
      <w:r>
        <w:rPr>
          <w:rFonts w:hint="default" w:ascii="Times New Roman" w:hAnsi="Times New Roman" w:eastAsia="仿宋" w:cs="Times New Roman"/>
          <w:sz w:val="28"/>
          <w:szCs w:val="28"/>
          <w:lang w:val="en-US" w:eastAsia="zh-CN"/>
        </w:rPr>
        <w:t xml:space="preserve">报告情况。 </w:t>
      </w:r>
    </w:p>
    <w:p w14:paraId="0A533009">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接到集中式饮用水水源地突发环境事件报告后，</w:t>
      </w:r>
      <w:r>
        <w:rPr>
          <w:rFonts w:hint="eastAsia" w:cs="Times New Roman"/>
          <w:sz w:val="28"/>
          <w:szCs w:val="28"/>
          <w:lang w:val="en-US" w:eastAsia="zh-CN"/>
        </w:rPr>
        <w:t>汾阳市人民政府</w:t>
      </w:r>
      <w:r>
        <w:rPr>
          <w:rFonts w:hint="default" w:ascii="Times New Roman" w:hAnsi="Times New Roman" w:eastAsia="仿宋" w:cs="Times New Roman"/>
          <w:sz w:val="28"/>
          <w:szCs w:val="28"/>
          <w:lang w:val="en-US" w:eastAsia="zh-CN"/>
        </w:rPr>
        <w:t>、</w:t>
      </w:r>
      <w:r>
        <w:rPr>
          <w:rFonts w:hint="eastAsia" w:cs="Times New Roman"/>
          <w:sz w:val="28"/>
          <w:szCs w:val="28"/>
          <w:lang w:val="en-US" w:eastAsia="zh-CN"/>
        </w:rPr>
        <w:t>相关部门</w:t>
      </w:r>
      <w:r>
        <w:rPr>
          <w:rFonts w:hint="default" w:ascii="Times New Roman" w:hAnsi="Times New Roman" w:eastAsia="仿宋" w:cs="Times New Roman"/>
          <w:sz w:val="28"/>
          <w:szCs w:val="28"/>
          <w:lang w:val="en-US" w:eastAsia="zh-CN"/>
        </w:rPr>
        <w:t xml:space="preserve">必须立即组织有关工作人员和技术支撑队伍赶赴现场，做好先期处置工作，采取有效措施消除和减轻污染危害，严防二次污染和次生、衍生事件发生。工作要点如下 </w:t>
      </w:r>
      <w:r>
        <w:rPr>
          <w:rFonts w:hint="eastAsia" w:cs="Times New Roman"/>
          <w:sz w:val="28"/>
          <w:szCs w:val="28"/>
          <w:lang w:val="en-US" w:eastAsia="zh-CN"/>
        </w:rPr>
        <w:t>：</w:t>
      </w:r>
      <w:r>
        <w:rPr>
          <w:rFonts w:hint="default" w:ascii="Times New Roman" w:hAnsi="Times New Roman" w:eastAsia="仿宋" w:cs="Times New Roman"/>
          <w:sz w:val="28"/>
          <w:szCs w:val="28"/>
          <w:lang w:val="en-US" w:eastAsia="zh-CN"/>
        </w:rPr>
        <w:t xml:space="preserve"> </w:t>
      </w:r>
    </w:p>
    <w:p w14:paraId="63E46D8A">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 xml:space="preserve">（1）切断固定源和流动源。 </w:t>
      </w:r>
    </w:p>
    <w:p w14:paraId="5A8B315C">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 xml:space="preserve">对于发生非正常排污或有毒有害物质泄漏的固定源突发环境事件，尽快查找污染源或泄漏源，通过关闭、封堵、收集、转移等措施，切断污染源或泄漏源。 </w:t>
      </w:r>
    </w:p>
    <w:p w14:paraId="454C100A">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 xml:space="preserve">对于道路交通运输过程中发生的流动源突发事件，可启动路面系统中建设的导流槽、应急池，或通过紧急设置围堰、闸坝等对污染物进行封堵和收集。 </w:t>
      </w:r>
    </w:p>
    <w:p w14:paraId="1FE1306B">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（2）启动应急收集系统，集中收集陆域污染物，设立拦截设施，防止污染物在陆域蔓延，组织相关部门对污染物进行回收处置等。</w:t>
      </w:r>
    </w:p>
    <w:p w14:paraId="508ABADA">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（3）根据现场事故发展情况对扩散至水体的污染物进行处置。</w:t>
      </w:r>
    </w:p>
    <w:p w14:paraId="4FA6EE10">
      <w:pPr>
        <w:pStyle w:val="3"/>
        <w:bidi w:val="0"/>
        <w:rPr>
          <w:rFonts w:hint="default"/>
          <w:lang w:val="en-US" w:eastAsia="zh-CN"/>
        </w:rPr>
      </w:pPr>
      <w:bookmarkStart w:id="66" w:name="_Toc32001"/>
      <w:bookmarkStart w:id="67" w:name="_Toc18320"/>
      <w:r>
        <w:rPr>
          <w:rFonts w:hint="default"/>
          <w:lang w:val="en-US" w:eastAsia="zh-CN"/>
        </w:rPr>
        <w:t>4.10 物资调集及应急设施启用</w:t>
      </w:r>
      <w:bookmarkEnd w:id="66"/>
      <w:bookmarkEnd w:id="67"/>
      <w:r>
        <w:rPr>
          <w:rFonts w:hint="default"/>
          <w:lang w:val="en-US" w:eastAsia="zh-CN"/>
        </w:rPr>
        <w:t xml:space="preserve"> </w:t>
      </w:r>
    </w:p>
    <w:p w14:paraId="40909DE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根据应急物资调查，目前乡镇水源地应急物资及应急设施主要依托各乡镇人民政府及村委会。针对应急要求，应急物资装备应定期检查和维护措施，以保证其有效性。要及时对已过期的物资进行更换，定期进行保养维护。 </w:t>
      </w:r>
    </w:p>
    <w:p w14:paraId="7916D0D7">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预案建议应在各水源供水井房或管理站配备必要的应急处置物资，确保突发环境时间发生时可第一时间调用，保证饮用水安全。 </w:t>
      </w:r>
    </w:p>
    <w:p w14:paraId="317A67FD">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应急物资、装备和设施包括但不限于以下内容： </w:t>
      </w:r>
    </w:p>
    <w:p w14:paraId="64AFA4A5">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 xml:space="preserve">对水体内污染物进行拦截的物资、装备和设施，如吸油毡、围油栏、沙袋、筑坝材料、溢出控制装备等。 </w:t>
      </w:r>
    </w:p>
    <w:p w14:paraId="0EFC27DF">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 xml:space="preserve">控制和消除污染物的物资、装备和设施，如中和剂、灭火剂、解毒剂、吸收剂等。 </w:t>
      </w:r>
    </w:p>
    <w:p w14:paraId="294B2761">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 xml:space="preserve">防护、医疗、通讯等设备和工具，如防护服、防毒面具、手套、医疗箱、对讲机、车辆等。 </w:t>
      </w:r>
    </w:p>
    <w:p w14:paraId="71DA18CB">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 xml:space="preserve">移除和拦截移动源的装备和设施，如吊车、临时围堰、导流槽、应急池等。 </w:t>
      </w:r>
    </w:p>
    <w:p w14:paraId="7E276D50">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雨水口垃圾清运和拦截的装备和设施，如格栅、清运车、临时设置的导流槽等。</w:t>
      </w:r>
    </w:p>
    <w:p w14:paraId="1D2E2414">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6、对污染物进行拦截、导流、分流及降解的应急工程设施，如拦截坝、节制闸、导流渠、分流沟、前置库等。 </w:t>
      </w:r>
    </w:p>
    <w:p w14:paraId="703BD564">
      <w:pPr>
        <w:pStyle w:val="3"/>
        <w:bidi w:val="0"/>
        <w:rPr>
          <w:rFonts w:hint="default"/>
          <w:lang w:val="en-US" w:eastAsia="zh-CN"/>
        </w:rPr>
      </w:pPr>
      <w:bookmarkStart w:id="68" w:name="_Toc6021"/>
      <w:bookmarkStart w:id="69" w:name="_Toc5534"/>
      <w:r>
        <w:rPr>
          <w:rFonts w:hint="default"/>
          <w:lang w:val="en-US" w:eastAsia="zh-CN"/>
        </w:rPr>
        <w:t>4.11 应急处置</w:t>
      </w:r>
      <w:bookmarkEnd w:id="68"/>
      <w:bookmarkEnd w:id="69"/>
      <w:r>
        <w:rPr>
          <w:rFonts w:hint="default"/>
          <w:lang w:val="en-US" w:eastAsia="zh-CN"/>
        </w:rPr>
        <w:t xml:space="preserve"> </w:t>
      </w:r>
    </w:p>
    <w:p w14:paraId="06B659A4">
      <w:pPr>
        <w:pStyle w:val="4"/>
        <w:bidi w:val="0"/>
        <w:rPr>
          <w:rFonts w:hint="default"/>
          <w:highlight w:val="none"/>
          <w:lang w:val="en-US" w:eastAsia="zh-CN"/>
        </w:rPr>
      </w:pPr>
      <w:bookmarkStart w:id="70" w:name="_Toc17541"/>
      <w:bookmarkStart w:id="71" w:name="_Toc28379"/>
      <w:bookmarkStart w:id="72" w:name="_Toc1196"/>
      <w:r>
        <w:rPr>
          <w:rFonts w:hint="default"/>
          <w:highlight w:val="none"/>
          <w:lang w:val="en-US" w:eastAsia="zh-CN"/>
        </w:rPr>
        <w:t>4.1</w:t>
      </w:r>
      <w:r>
        <w:rPr>
          <w:rFonts w:hint="eastAsia"/>
          <w:highlight w:val="none"/>
          <w:lang w:val="en-US" w:eastAsia="zh-CN"/>
        </w:rPr>
        <w:t>1</w:t>
      </w:r>
      <w:r>
        <w:rPr>
          <w:rFonts w:hint="default"/>
          <w:highlight w:val="none"/>
          <w:lang w:val="en-US" w:eastAsia="zh-CN"/>
        </w:rPr>
        <w:t>.1</w:t>
      </w:r>
      <w:r>
        <w:rPr>
          <w:rFonts w:hint="eastAsia"/>
          <w:highlight w:val="none"/>
          <w:lang w:val="en-US" w:eastAsia="zh-CN"/>
        </w:rPr>
        <w:t>现场应急处置原则</w:t>
      </w:r>
      <w:bookmarkEnd w:id="70"/>
      <w:bookmarkEnd w:id="71"/>
    </w:p>
    <w:p w14:paraId="448CE49E">
      <w:pPr>
        <w:rPr>
          <w:rFonts w:hint="default"/>
          <w:highlight w:val="none"/>
          <w:lang w:val="en-US" w:eastAsia="zh-CN"/>
        </w:rPr>
      </w:pPr>
      <w:r>
        <w:rPr>
          <w:rFonts w:hint="default"/>
          <w:highlight w:val="none"/>
          <w:lang w:val="en-US" w:eastAsia="zh-CN"/>
        </w:rPr>
        <w:t>1</w:t>
      </w:r>
      <w:r>
        <w:rPr>
          <w:rFonts w:hint="eastAsia"/>
          <w:highlight w:val="none"/>
          <w:lang w:val="en-US" w:eastAsia="zh-CN"/>
        </w:rPr>
        <w:t>.</w:t>
      </w:r>
      <w:r>
        <w:rPr>
          <w:rFonts w:hint="default"/>
          <w:highlight w:val="none"/>
          <w:lang w:val="en-US" w:eastAsia="zh-CN"/>
        </w:rPr>
        <w:t>按照“先控制，后处理”的原则，迅速实施先期处置，优先控制污染源，尽快阻止污染物继续排放外泄。</w:t>
      </w:r>
    </w:p>
    <w:p w14:paraId="504D577D">
      <w:pPr>
        <w:rPr>
          <w:rFonts w:hint="default"/>
          <w:highlight w:val="none"/>
          <w:lang w:val="en-US" w:eastAsia="zh-CN"/>
        </w:rPr>
      </w:pPr>
      <w:r>
        <w:rPr>
          <w:rFonts w:hint="default"/>
          <w:highlight w:val="none"/>
          <w:lang w:val="en-US" w:eastAsia="zh-CN"/>
        </w:rPr>
        <w:t>2</w:t>
      </w:r>
      <w:r>
        <w:rPr>
          <w:rFonts w:hint="eastAsia"/>
          <w:highlight w:val="none"/>
          <w:lang w:val="en-US" w:eastAsia="zh-CN"/>
        </w:rPr>
        <w:t>.</w:t>
      </w:r>
      <w:r>
        <w:rPr>
          <w:rFonts w:hint="default"/>
          <w:highlight w:val="none"/>
          <w:lang w:val="en-US" w:eastAsia="zh-CN"/>
        </w:rPr>
        <w:t>尽可能控制和缩小已排出污染物的扩散和蔓延范围，把水环境污染事件危害降到最小程度。</w:t>
      </w:r>
    </w:p>
    <w:p w14:paraId="6680F899">
      <w:pPr>
        <w:rPr>
          <w:rFonts w:hint="default"/>
          <w:highlight w:val="none"/>
          <w:lang w:val="en-US" w:eastAsia="zh-CN"/>
        </w:rPr>
      </w:pPr>
      <w:r>
        <w:rPr>
          <w:rFonts w:hint="default"/>
          <w:highlight w:val="none"/>
          <w:lang w:val="en-US" w:eastAsia="zh-CN"/>
        </w:rPr>
        <w:t>3</w:t>
      </w:r>
      <w:r>
        <w:rPr>
          <w:rFonts w:hint="eastAsia"/>
          <w:highlight w:val="none"/>
          <w:lang w:val="en-US" w:eastAsia="zh-CN"/>
        </w:rPr>
        <w:t>.</w:t>
      </w:r>
      <w:r>
        <w:rPr>
          <w:rFonts w:hint="default"/>
          <w:highlight w:val="none"/>
          <w:lang w:val="en-US" w:eastAsia="zh-CN"/>
        </w:rPr>
        <w:t>依靠科技和专家力量，采取科学有效的措施，尽量避免和减少人员伤亡，确保人民群众生命安全。</w:t>
      </w:r>
    </w:p>
    <w:p w14:paraId="40F61061">
      <w:pPr>
        <w:rPr>
          <w:rFonts w:hint="default"/>
          <w:highlight w:val="none"/>
          <w:lang w:val="en-US" w:eastAsia="zh-CN"/>
        </w:rPr>
      </w:pPr>
      <w:r>
        <w:rPr>
          <w:rFonts w:hint="default"/>
          <w:highlight w:val="none"/>
          <w:lang w:val="en-US" w:eastAsia="zh-CN"/>
        </w:rPr>
        <w:t>4</w:t>
      </w:r>
      <w:r>
        <w:rPr>
          <w:rFonts w:hint="eastAsia"/>
          <w:highlight w:val="none"/>
          <w:lang w:val="en-US" w:eastAsia="zh-CN"/>
        </w:rPr>
        <w:t>.</w:t>
      </w:r>
      <w:r>
        <w:rPr>
          <w:rFonts w:hint="default"/>
          <w:highlight w:val="none"/>
          <w:lang w:val="en-US" w:eastAsia="zh-CN"/>
        </w:rPr>
        <w:t>应急处置要立足于彻底消除污染危害，避免二次污染。</w:t>
      </w:r>
    </w:p>
    <w:p w14:paraId="4A369127">
      <w:pPr>
        <w:pStyle w:val="4"/>
        <w:bidi w:val="0"/>
        <w:rPr>
          <w:rFonts w:hint="default"/>
          <w:highlight w:val="none"/>
          <w:lang w:val="en-US" w:eastAsia="zh-CN"/>
        </w:rPr>
      </w:pPr>
      <w:bookmarkStart w:id="73" w:name="_Toc30205"/>
      <w:bookmarkStart w:id="74" w:name="_Toc18907"/>
      <w:r>
        <w:rPr>
          <w:rFonts w:hint="default"/>
          <w:highlight w:val="none"/>
          <w:lang w:val="en-US" w:eastAsia="zh-CN"/>
        </w:rPr>
        <w:t>4.1</w:t>
      </w:r>
      <w:r>
        <w:rPr>
          <w:rFonts w:hint="eastAsia"/>
          <w:highlight w:val="none"/>
          <w:lang w:val="en-US" w:eastAsia="zh-CN"/>
        </w:rPr>
        <w:t>1</w:t>
      </w:r>
      <w:r>
        <w:rPr>
          <w:rFonts w:hint="default"/>
          <w:highlight w:val="none"/>
          <w:lang w:val="en-US" w:eastAsia="zh-CN"/>
        </w:rPr>
        <w:t>.</w:t>
      </w:r>
      <w:r>
        <w:rPr>
          <w:rFonts w:hint="eastAsia"/>
          <w:highlight w:val="none"/>
          <w:lang w:val="en-US" w:eastAsia="zh-CN"/>
        </w:rPr>
        <w:t>2</w:t>
      </w:r>
      <w:r>
        <w:rPr>
          <w:rFonts w:hint="default"/>
          <w:highlight w:val="none"/>
          <w:lang w:val="en-US" w:eastAsia="zh-CN"/>
        </w:rPr>
        <w:t>现场处置方案</w:t>
      </w:r>
      <w:bookmarkEnd w:id="73"/>
      <w:bookmarkEnd w:id="74"/>
    </w:p>
    <w:p w14:paraId="6C25B468">
      <w:pPr>
        <w:rPr>
          <w:rFonts w:hint="default"/>
          <w:highlight w:val="none"/>
          <w:lang w:val="en-US" w:eastAsia="zh-CN"/>
        </w:rPr>
      </w:pPr>
      <w:r>
        <w:rPr>
          <w:rFonts w:hint="default"/>
          <w:highlight w:val="none"/>
          <w:lang w:val="en-US" w:eastAsia="zh-CN"/>
        </w:rPr>
        <w:t>在先期处置基础上，继续做好现场污染处置工作。现场处置方案包括但不限于以下内容：应急监测、污染处置措施、物资调集、应急队伍和人员安排、供水单位应对等。</w:t>
      </w:r>
    </w:p>
    <w:p w14:paraId="1A072295">
      <w:pPr>
        <w:pStyle w:val="5"/>
        <w:bidi w:val="0"/>
        <w:rPr>
          <w:rFonts w:hint="default"/>
          <w:highlight w:val="none"/>
          <w:lang w:val="en-US" w:eastAsia="zh-CN"/>
        </w:rPr>
      </w:pPr>
      <w:r>
        <w:rPr>
          <w:rFonts w:hint="default"/>
          <w:highlight w:val="none"/>
          <w:lang w:val="en-US" w:eastAsia="zh-CN"/>
        </w:rPr>
        <w:t>4.1</w:t>
      </w:r>
      <w:r>
        <w:rPr>
          <w:rFonts w:hint="eastAsia"/>
          <w:highlight w:val="none"/>
          <w:lang w:val="en-US" w:eastAsia="zh-CN"/>
        </w:rPr>
        <w:t>1</w:t>
      </w:r>
      <w:r>
        <w:rPr>
          <w:rFonts w:hint="default"/>
          <w:highlight w:val="none"/>
          <w:lang w:val="en-US" w:eastAsia="zh-CN"/>
        </w:rPr>
        <w:t>.</w:t>
      </w:r>
      <w:r>
        <w:rPr>
          <w:rFonts w:hint="eastAsia"/>
          <w:highlight w:val="none"/>
          <w:lang w:val="en-US" w:eastAsia="zh-CN"/>
        </w:rPr>
        <w:t>2</w:t>
      </w:r>
      <w:r>
        <w:rPr>
          <w:rFonts w:hint="default"/>
          <w:highlight w:val="none"/>
          <w:lang w:val="en-US" w:eastAsia="zh-CN"/>
        </w:rPr>
        <w:t>.1水源地突发环境事件的污染处置措施</w:t>
      </w:r>
    </w:p>
    <w:p w14:paraId="4B3CF9A3">
      <w:pPr>
        <w:keepNext w:val="0"/>
        <w:keepLines w:val="0"/>
        <w:pageBreakBefore w:val="0"/>
        <w:widowControl w:val="0"/>
        <w:kinsoku/>
        <w:wordWrap/>
        <w:overflowPunct/>
        <w:topLinePunct w:val="0"/>
        <w:autoSpaceDE/>
        <w:autoSpaceDN/>
        <w:bidi w:val="0"/>
        <w:adjustRightInd/>
        <w:snapToGrid/>
        <w:textAlignment w:val="auto"/>
        <w:rPr>
          <w:rFonts w:hint="default"/>
          <w:highlight w:val="none"/>
          <w:lang w:val="en-US" w:eastAsia="zh-CN"/>
        </w:rPr>
      </w:pPr>
      <w:r>
        <w:rPr>
          <w:rFonts w:hint="default"/>
          <w:highlight w:val="none"/>
          <w:lang w:val="en-US" w:eastAsia="zh-CN"/>
        </w:rPr>
        <w:t>根据汾阳市</w:t>
      </w:r>
      <w:r>
        <w:rPr>
          <w:rFonts w:hint="eastAsia"/>
          <w:highlight w:val="none"/>
          <w:lang w:val="en-US" w:eastAsia="zh-CN"/>
        </w:rPr>
        <w:t>10</w:t>
      </w:r>
      <w:r>
        <w:rPr>
          <w:rFonts w:hint="default"/>
          <w:highlight w:val="none"/>
          <w:lang w:val="en-US" w:eastAsia="zh-CN"/>
        </w:rPr>
        <w:t>处</w:t>
      </w:r>
      <w:r>
        <w:rPr>
          <w:rFonts w:hint="eastAsia"/>
          <w:highlight w:val="none"/>
          <w:lang w:val="en-US" w:eastAsia="zh-CN"/>
        </w:rPr>
        <w:t>乡镇集中式</w:t>
      </w:r>
      <w:r>
        <w:rPr>
          <w:rFonts w:hint="default"/>
          <w:highlight w:val="none"/>
          <w:lang w:val="en-US" w:eastAsia="zh-CN"/>
        </w:rPr>
        <w:t>饮用水水源周边环境调查，</w:t>
      </w:r>
      <w:r>
        <w:rPr>
          <w:rFonts w:hint="eastAsia"/>
          <w:highlight w:val="none"/>
          <w:lang w:val="en-US" w:eastAsia="zh-CN"/>
        </w:rPr>
        <w:t>各</w:t>
      </w:r>
      <w:r>
        <w:rPr>
          <w:rFonts w:hint="default"/>
          <w:highlight w:val="none"/>
          <w:lang w:val="en-US" w:eastAsia="zh-CN"/>
        </w:rPr>
        <w:t>水源地可能发生周边企业发生爆炸和火灾导致洗消废水泄露污染事件、危化品运输泄漏污染事件、生活垃圾、畜禽粪便、生活污水等生活污染源不合理排放引发水体污染事件和林地与耕地中施用化肥及农药随地表径流流失，引起饮用水污染事件等，根据实际情况，结合专家组意见进行应对。</w:t>
      </w:r>
    </w:p>
    <w:p w14:paraId="47E0BFDF">
      <w:pPr>
        <w:pStyle w:val="5"/>
        <w:bidi w:val="0"/>
        <w:rPr>
          <w:rFonts w:hint="default"/>
          <w:highlight w:val="none"/>
          <w:lang w:val="en-US" w:eastAsia="zh-CN"/>
        </w:rPr>
      </w:pPr>
      <w:r>
        <w:rPr>
          <w:rFonts w:hint="default"/>
          <w:highlight w:val="none"/>
          <w:lang w:val="en-US" w:eastAsia="zh-CN"/>
        </w:rPr>
        <w:t>4.1</w:t>
      </w:r>
      <w:r>
        <w:rPr>
          <w:rFonts w:hint="eastAsia"/>
          <w:highlight w:val="none"/>
          <w:lang w:val="en-US" w:eastAsia="zh-CN"/>
        </w:rPr>
        <w:t>1</w:t>
      </w:r>
      <w:r>
        <w:rPr>
          <w:rFonts w:hint="default"/>
          <w:highlight w:val="none"/>
          <w:lang w:val="en-US" w:eastAsia="zh-CN"/>
        </w:rPr>
        <w:t>.</w:t>
      </w:r>
      <w:r>
        <w:rPr>
          <w:rFonts w:hint="eastAsia"/>
          <w:highlight w:val="none"/>
          <w:lang w:val="en-US" w:eastAsia="zh-CN"/>
        </w:rPr>
        <w:t>2.2</w:t>
      </w:r>
      <w:r>
        <w:rPr>
          <w:rFonts w:hint="default"/>
          <w:highlight w:val="none"/>
          <w:lang w:val="en-US" w:eastAsia="zh-CN"/>
        </w:rPr>
        <w:t>水源地突发环境事件处理方案</w:t>
      </w:r>
    </w:p>
    <w:p w14:paraId="73EEE6EA">
      <w:pPr>
        <w:rPr>
          <w:rFonts w:hint="default"/>
          <w:highlight w:val="none"/>
          <w:lang w:val="en-US" w:eastAsia="zh-CN"/>
        </w:rPr>
      </w:pPr>
      <w:r>
        <w:rPr>
          <w:rFonts w:hint="default"/>
          <w:highlight w:val="none"/>
          <w:lang w:val="en-US" w:eastAsia="zh-CN"/>
        </w:rPr>
        <w:t>1</w:t>
      </w:r>
      <w:r>
        <w:rPr>
          <w:rFonts w:hint="eastAsia"/>
          <w:highlight w:val="none"/>
          <w:lang w:val="en-US" w:eastAsia="zh-CN"/>
        </w:rPr>
        <w:t>.</w:t>
      </w:r>
      <w:r>
        <w:rPr>
          <w:rFonts w:hint="default"/>
          <w:highlight w:val="none"/>
          <w:lang w:val="en-US" w:eastAsia="zh-CN"/>
        </w:rPr>
        <w:t>油品及危化品泄漏处置方案</w:t>
      </w:r>
    </w:p>
    <w:p w14:paraId="3A7FE42A">
      <w:pPr>
        <w:rPr>
          <w:rFonts w:hint="default"/>
          <w:highlight w:val="none"/>
          <w:lang w:val="en-US" w:eastAsia="zh-CN"/>
        </w:rPr>
      </w:pPr>
      <w:r>
        <w:rPr>
          <w:rFonts w:hint="default"/>
          <w:highlight w:val="none"/>
          <w:lang w:val="en-US" w:eastAsia="zh-CN"/>
        </w:rPr>
        <w:t>A目击者或驾驶者及时拨打123</w:t>
      </w:r>
      <w:r>
        <w:rPr>
          <w:rFonts w:hint="eastAsia"/>
          <w:highlight w:val="none"/>
          <w:lang w:val="en-US" w:eastAsia="zh-CN"/>
        </w:rPr>
        <w:t>45</w:t>
      </w:r>
      <w:r>
        <w:rPr>
          <w:rFonts w:hint="default"/>
          <w:highlight w:val="none"/>
          <w:lang w:val="en-US" w:eastAsia="zh-CN"/>
        </w:rPr>
        <w:t>，把情况如实上报给水源管理部门后，在条件允许情况下采取一定的应急措施，并让周围人员撤离出150m之外，并在现场周围设置安全警示标志，提示过往行人和车辆注意避让；</w:t>
      </w:r>
    </w:p>
    <w:p w14:paraId="6D3EA1BB">
      <w:pPr>
        <w:rPr>
          <w:rFonts w:hint="default"/>
          <w:highlight w:val="none"/>
          <w:lang w:val="en-US" w:eastAsia="zh-CN"/>
        </w:rPr>
      </w:pPr>
      <w:r>
        <w:rPr>
          <w:rFonts w:hint="default"/>
          <w:highlight w:val="none"/>
          <w:lang w:val="en-US" w:eastAsia="zh-CN"/>
        </w:rPr>
        <w:t>B驾驶油品储罐车辆人员查看车辆和罐体损坏及现场周边情况。条件允许时，迅速将车辆驶离水源地保护区之外，或直接就近将车停于空旷、低洼地点实施关闭紧急制动阀，紧急封堵；</w:t>
      </w:r>
    </w:p>
    <w:p w14:paraId="12167E7E">
      <w:pPr>
        <w:rPr>
          <w:rFonts w:hint="default"/>
          <w:highlight w:val="none"/>
          <w:lang w:val="en-US" w:eastAsia="zh-CN"/>
        </w:rPr>
      </w:pPr>
      <w:r>
        <w:rPr>
          <w:rFonts w:hint="default"/>
          <w:highlight w:val="none"/>
          <w:lang w:val="en-US" w:eastAsia="zh-CN"/>
        </w:rPr>
        <w:t>C如车辆上配备有容器或吸油海绵等应急器材和防护用品，驾驶员及随行人员应立即对泄漏油品采取收集措施，减少油品渗入土壤的几率，同时尽可能调集空储罐进行倒罐；</w:t>
      </w:r>
    </w:p>
    <w:p w14:paraId="3E88E393">
      <w:pPr>
        <w:rPr>
          <w:rFonts w:hint="default"/>
          <w:highlight w:val="none"/>
          <w:lang w:val="en-US" w:eastAsia="zh-CN"/>
        </w:rPr>
      </w:pPr>
      <w:r>
        <w:rPr>
          <w:rFonts w:hint="default"/>
          <w:highlight w:val="none"/>
          <w:lang w:val="en-US" w:eastAsia="zh-CN"/>
        </w:rPr>
        <w:t>D同时利用道路两旁的排水明渠，将泄漏油品截留在此处，再收集、吸附。</w:t>
      </w:r>
    </w:p>
    <w:p w14:paraId="295392D8">
      <w:pPr>
        <w:rPr>
          <w:rFonts w:hint="default"/>
          <w:highlight w:val="none"/>
          <w:lang w:val="en-US" w:eastAsia="zh-CN"/>
        </w:rPr>
      </w:pPr>
      <w:r>
        <w:rPr>
          <w:rFonts w:hint="default"/>
          <w:highlight w:val="none"/>
          <w:lang w:val="en-US" w:eastAsia="zh-CN"/>
        </w:rPr>
        <w:t>2</w:t>
      </w:r>
      <w:r>
        <w:rPr>
          <w:rFonts w:hint="eastAsia"/>
          <w:highlight w:val="none"/>
          <w:lang w:val="en-US" w:eastAsia="zh-CN"/>
        </w:rPr>
        <w:t>.</w:t>
      </w:r>
      <w:r>
        <w:rPr>
          <w:rFonts w:hint="default"/>
          <w:highlight w:val="none"/>
          <w:lang w:val="en-US" w:eastAsia="zh-CN"/>
        </w:rPr>
        <w:t>生活垃圾、畜禽粪便、生活污水等生活污染源不合理排放引发水体污染事件现场处置方案此类生活源引发的污染并非是突发引起的，有累积效应。因此该污染事件主要依靠吕梁市生态环境局汾阳分局、汾阳市城乡建设和交通运输局、汾阳市农业农村和水利局等相关部门进行日常管理与监管。如引发污染事件，处置方案主要从以下方面进行管控：</w:t>
      </w:r>
    </w:p>
    <w:p w14:paraId="4C45549B">
      <w:pPr>
        <w:rPr>
          <w:rFonts w:hint="default"/>
          <w:highlight w:val="none"/>
          <w:lang w:val="en-US" w:eastAsia="zh-CN"/>
        </w:rPr>
      </w:pPr>
      <w:r>
        <w:rPr>
          <w:rFonts w:hint="default"/>
          <w:highlight w:val="none"/>
          <w:lang w:val="en-US" w:eastAsia="zh-CN"/>
        </w:rPr>
        <w:t>A加强源头管理，对生活污染源进行规范化处理，处理后的中水采取回用方式，避免外排。</w:t>
      </w:r>
    </w:p>
    <w:p w14:paraId="0147102B">
      <w:pPr>
        <w:rPr>
          <w:rFonts w:hint="default"/>
          <w:highlight w:val="none"/>
          <w:lang w:val="en-US" w:eastAsia="zh-CN"/>
        </w:rPr>
      </w:pPr>
      <w:r>
        <w:rPr>
          <w:rFonts w:hint="default"/>
          <w:highlight w:val="none"/>
          <w:lang w:val="en-US" w:eastAsia="zh-CN"/>
        </w:rPr>
        <w:t>B加强水源水质监测指标控制。一旦发现水质指标波动异常，采取污染控制措施，并查找污染源。</w:t>
      </w:r>
    </w:p>
    <w:p w14:paraId="2BCAEA1E">
      <w:pPr>
        <w:rPr>
          <w:rFonts w:hint="default"/>
          <w:highlight w:val="none"/>
          <w:lang w:val="en-US" w:eastAsia="zh-CN"/>
        </w:rPr>
      </w:pPr>
      <w:r>
        <w:rPr>
          <w:rFonts w:hint="default"/>
          <w:highlight w:val="none"/>
          <w:lang w:val="en-US" w:eastAsia="zh-CN"/>
        </w:rPr>
        <w:t>C开展污染源排查，并根据污染源类别采取相应措施。具体根据实际情况，结合专家组意见进行应对。</w:t>
      </w:r>
    </w:p>
    <w:p w14:paraId="46CCB5D6">
      <w:pPr>
        <w:rPr>
          <w:rFonts w:hint="default"/>
          <w:highlight w:val="none"/>
          <w:lang w:val="en-US" w:eastAsia="zh-CN"/>
        </w:rPr>
      </w:pPr>
      <w:r>
        <w:rPr>
          <w:rFonts w:hint="default"/>
          <w:highlight w:val="none"/>
          <w:lang w:val="en-US" w:eastAsia="zh-CN"/>
        </w:rPr>
        <w:t>3</w:t>
      </w:r>
      <w:r>
        <w:rPr>
          <w:rFonts w:hint="eastAsia"/>
          <w:highlight w:val="none"/>
          <w:lang w:val="en-US" w:eastAsia="zh-CN"/>
        </w:rPr>
        <w:t>.</w:t>
      </w:r>
      <w:r>
        <w:rPr>
          <w:rFonts w:hint="default"/>
          <w:highlight w:val="none"/>
          <w:lang w:val="en-US" w:eastAsia="zh-CN"/>
        </w:rPr>
        <w:t>林地与耕地中施用化肥及农药随地表径流流失，引起饮用水污染事件处置方案施用化肥及农药引发的污染并非是由长期累积效应所产生的。因此该污染事件主要依靠汾阳市农业农村和水利局管理部门进行日常管理与监管。处置方案主要以管理为主，可从以下方面进行管控：</w:t>
      </w:r>
    </w:p>
    <w:p w14:paraId="77E16CA8">
      <w:pPr>
        <w:rPr>
          <w:rFonts w:hint="default"/>
          <w:highlight w:val="none"/>
          <w:lang w:val="en-US" w:eastAsia="zh-CN"/>
        </w:rPr>
      </w:pPr>
      <w:r>
        <w:rPr>
          <w:rFonts w:hint="default"/>
          <w:highlight w:val="none"/>
          <w:lang w:val="en-US" w:eastAsia="zh-CN"/>
        </w:rPr>
        <w:t>A加强源头管理，提倡保护区内林地与耕地采用有机肥，减少农药、化肥使用，并逐步退出使用。</w:t>
      </w:r>
    </w:p>
    <w:p w14:paraId="0D9C63C8">
      <w:pPr>
        <w:rPr>
          <w:rFonts w:hint="default"/>
          <w:highlight w:val="none"/>
          <w:lang w:val="en-US" w:eastAsia="zh-CN"/>
        </w:rPr>
      </w:pPr>
      <w:r>
        <w:rPr>
          <w:rFonts w:hint="default"/>
          <w:highlight w:val="none"/>
          <w:lang w:val="en-US" w:eastAsia="zh-CN"/>
        </w:rPr>
        <w:t>B排查耕地和林地，并根据污染类别采取相应管控措施。</w:t>
      </w:r>
    </w:p>
    <w:p w14:paraId="30E28859">
      <w:pPr>
        <w:rPr>
          <w:rFonts w:hint="default"/>
          <w:highlight w:val="none"/>
          <w:lang w:val="en-US" w:eastAsia="zh-CN"/>
        </w:rPr>
      </w:pPr>
      <w:r>
        <w:rPr>
          <w:rFonts w:hint="default"/>
          <w:highlight w:val="none"/>
          <w:lang w:val="en-US" w:eastAsia="zh-CN"/>
        </w:rPr>
        <w:t>具体根据实际情况，结合专家组意见进行应对。</w:t>
      </w:r>
    </w:p>
    <w:p w14:paraId="2059C25F">
      <w:pPr>
        <w:rPr>
          <w:rFonts w:hint="default"/>
          <w:highlight w:val="none"/>
          <w:lang w:val="en-US" w:eastAsia="zh-CN"/>
        </w:rPr>
      </w:pPr>
      <w:r>
        <w:rPr>
          <w:rFonts w:hint="default"/>
          <w:highlight w:val="none"/>
          <w:lang w:val="en-US" w:eastAsia="zh-CN"/>
        </w:rPr>
        <w:t>4</w:t>
      </w:r>
      <w:r>
        <w:rPr>
          <w:rFonts w:hint="eastAsia"/>
          <w:highlight w:val="none"/>
          <w:lang w:val="en-US" w:eastAsia="zh-CN"/>
        </w:rPr>
        <w:t>.</w:t>
      </w:r>
      <w:r>
        <w:rPr>
          <w:rFonts w:hint="default"/>
          <w:highlight w:val="none"/>
          <w:lang w:val="en-US" w:eastAsia="zh-CN"/>
        </w:rPr>
        <w:t>道路应急防护方案</w:t>
      </w:r>
    </w:p>
    <w:p w14:paraId="6BF990F3">
      <w:pPr>
        <w:rPr>
          <w:rFonts w:hint="default"/>
          <w:highlight w:val="none"/>
          <w:lang w:val="en-US" w:eastAsia="zh-CN"/>
        </w:rPr>
      </w:pPr>
      <w:r>
        <w:rPr>
          <w:rFonts w:hint="default"/>
          <w:highlight w:val="none"/>
          <w:lang w:val="en-US" w:eastAsia="zh-CN"/>
        </w:rPr>
        <w:t>道路运输风险物质泄漏见以上风险物质泄漏处置措施，道路防护重在日常风险防控，道路穿越一级保护区的路段，应设置防撞护栏，道路两侧设置泄漏物质导流槽、应急收集池，用于事故状态下泄漏物质的导流收集，避免风险物质直接接触水源保护区土壤，降低水源污染可能。</w:t>
      </w:r>
    </w:p>
    <w:p w14:paraId="4AF8DF37">
      <w:pPr>
        <w:rPr>
          <w:rFonts w:hint="default"/>
          <w:highlight w:val="none"/>
          <w:lang w:val="en-US" w:eastAsia="zh-CN"/>
        </w:rPr>
      </w:pPr>
      <w:r>
        <w:rPr>
          <w:rFonts w:hint="default"/>
          <w:highlight w:val="none"/>
          <w:lang w:val="en-US" w:eastAsia="zh-CN"/>
        </w:rPr>
        <w:t>5</w:t>
      </w:r>
      <w:r>
        <w:rPr>
          <w:rFonts w:hint="eastAsia"/>
          <w:highlight w:val="none"/>
          <w:lang w:val="en-US" w:eastAsia="zh-CN"/>
        </w:rPr>
        <w:t>.</w:t>
      </w:r>
      <w:r>
        <w:rPr>
          <w:rFonts w:hint="default"/>
          <w:highlight w:val="none"/>
          <w:lang w:val="en-US" w:eastAsia="zh-CN"/>
        </w:rPr>
        <w:t>供水系统及其他污染应对措施</w:t>
      </w:r>
    </w:p>
    <w:p w14:paraId="4DEE5C60">
      <w:pPr>
        <w:rPr>
          <w:rFonts w:hint="default"/>
          <w:highlight w:val="none"/>
          <w:lang w:val="en-US" w:eastAsia="zh-CN"/>
        </w:rPr>
      </w:pPr>
      <w:r>
        <w:rPr>
          <w:rFonts w:hint="default"/>
          <w:highlight w:val="none"/>
          <w:lang w:val="en-US" w:eastAsia="zh-CN"/>
        </w:rPr>
        <w:t>要建立应急监测信息通报制度，水源管理员每天向供水站上报水源突发情况，供水站接到通知后，立即采取应对措施，启动供水应急预案。</w:t>
      </w:r>
    </w:p>
    <w:p w14:paraId="6A634951">
      <w:pPr>
        <w:bidi w:val="0"/>
        <w:rPr>
          <w:rFonts w:hint="default"/>
          <w:lang w:val="en-US" w:eastAsia="zh-CN"/>
        </w:rPr>
      </w:pPr>
      <w:r>
        <w:rPr>
          <w:rFonts w:hint="default"/>
          <w:lang w:val="en-US" w:eastAsia="zh-CN"/>
        </w:rPr>
        <w:t>应急监测或事态研判过程中，发现或判定污染物已扩散至饮用水水源地，</w:t>
      </w:r>
      <w:r>
        <w:rPr>
          <w:rFonts w:hint="eastAsia"/>
          <w:lang w:val="en-US" w:eastAsia="zh-CN"/>
        </w:rPr>
        <w:t>汾阳市人民</w:t>
      </w:r>
      <w:r>
        <w:rPr>
          <w:rFonts w:hint="default"/>
          <w:lang w:val="en-US" w:eastAsia="zh-CN"/>
        </w:rPr>
        <w:t>政府、汾阳市农业农村</w:t>
      </w:r>
      <w:r>
        <w:rPr>
          <w:rFonts w:hint="eastAsia"/>
          <w:lang w:val="en-US" w:eastAsia="zh-CN"/>
        </w:rPr>
        <w:t>、</w:t>
      </w:r>
      <w:r>
        <w:rPr>
          <w:rFonts w:hint="default"/>
          <w:lang w:val="en-US" w:eastAsia="zh-CN"/>
        </w:rPr>
        <w:t>汾阳市水利局、吕梁市生态环境局汾阳分局等相关部门则立即要求停止取水，使用应急输供水车等设施保障居民用水。</w:t>
      </w:r>
    </w:p>
    <w:p w14:paraId="554F43FC">
      <w:pPr>
        <w:pStyle w:val="3"/>
        <w:bidi w:val="0"/>
        <w:rPr>
          <w:rFonts w:hint="default"/>
          <w:lang w:val="en-US" w:eastAsia="zh-CN"/>
        </w:rPr>
      </w:pPr>
      <w:bookmarkStart w:id="75" w:name="_Toc21736"/>
      <w:r>
        <w:rPr>
          <w:rFonts w:hint="default"/>
          <w:lang w:val="en-US" w:eastAsia="zh-CN"/>
        </w:rPr>
        <w:t>4.12 信息公开与发布</w:t>
      </w:r>
      <w:bookmarkEnd w:id="72"/>
      <w:bookmarkEnd w:id="75"/>
      <w:r>
        <w:rPr>
          <w:rFonts w:hint="default"/>
          <w:lang w:val="en-US" w:eastAsia="zh-CN"/>
        </w:rPr>
        <w:t xml:space="preserve"> </w:t>
      </w:r>
    </w:p>
    <w:p w14:paraId="40CAEF2F">
      <w:pPr>
        <w:pStyle w:val="4"/>
        <w:bidi w:val="0"/>
        <w:rPr>
          <w:rFonts w:hint="default"/>
          <w:lang w:val="en-US" w:eastAsia="zh-CN"/>
        </w:rPr>
      </w:pPr>
      <w:bookmarkStart w:id="76" w:name="_Toc12041"/>
      <w:r>
        <w:rPr>
          <w:rFonts w:hint="default"/>
          <w:lang w:val="en-US" w:eastAsia="zh-CN"/>
        </w:rPr>
        <w:t>4.12.1舆情监测</w:t>
      </w:r>
      <w:bookmarkEnd w:id="76"/>
      <w:r>
        <w:rPr>
          <w:rFonts w:hint="default"/>
          <w:lang w:val="en-US" w:eastAsia="zh-CN"/>
        </w:rPr>
        <w:t xml:space="preserve"> </w:t>
      </w:r>
    </w:p>
    <w:p w14:paraId="11178A16">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由宣传报道组开展舆情监测工作，负责舆情信息的收集分析、信息公开，分析热点信息、敏感信息、大众关注方向、关注度、突发事件分析统计等，据此开展事件的公开工作。 </w:t>
      </w:r>
    </w:p>
    <w:p w14:paraId="213531A7">
      <w:pPr>
        <w:pStyle w:val="4"/>
        <w:bidi w:val="0"/>
        <w:rPr>
          <w:rFonts w:hint="default"/>
          <w:lang w:val="en-US" w:eastAsia="zh-CN"/>
        </w:rPr>
      </w:pPr>
      <w:bookmarkStart w:id="77" w:name="_Toc122"/>
      <w:r>
        <w:rPr>
          <w:rFonts w:hint="default"/>
          <w:lang w:val="en-US" w:eastAsia="zh-CN"/>
        </w:rPr>
        <w:t>4.12.2公开方式</w:t>
      </w:r>
      <w:bookmarkEnd w:id="77"/>
      <w:r>
        <w:rPr>
          <w:rFonts w:hint="default"/>
          <w:lang w:val="en-US" w:eastAsia="zh-CN"/>
        </w:rPr>
        <w:t xml:space="preserve"> </w:t>
      </w:r>
    </w:p>
    <w:p w14:paraId="585247C1">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通过</w:t>
      </w:r>
      <w:r>
        <w:rPr>
          <w:rFonts w:hint="eastAsia" w:cs="Times New Roman"/>
          <w:sz w:val="28"/>
          <w:szCs w:val="28"/>
          <w:lang w:eastAsia="zh-CN"/>
        </w:rPr>
        <w:t>汾阳市人民政府</w:t>
      </w:r>
      <w:r>
        <w:rPr>
          <w:rFonts w:hint="default" w:ascii="Times New Roman" w:hAnsi="Times New Roman" w:eastAsia="仿宋" w:cs="Times New Roman"/>
          <w:sz w:val="28"/>
          <w:szCs w:val="28"/>
        </w:rPr>
        <w:t>授权发布、发新闻稿、接受记者采访、举行新闻发布会、组织专家解读等方式，借助电视、广播、报纸、互联网等多种途径，主动、及时、准确、客观向社会发布集中式饮用水水源地突发环境事件和应对工作信息，回应社会关切，澄清不实信息，正确引导社会舆论。信息发布内容包括事件原因、污染程度、影响范围、应对措施、需要公众配合采取的措施、公众防范常识和事件调查处理进展情况等。加强舆情监测，做好舆论引导工作。对于较复杂的事件，可分阶段发布。对于跨行政区域的集中式饮用水水源地突发环境事件，可由</w:t>
      </w:r>
      <w:r>
        <w:rPr>
          <w:rFonts w:hint="eastAsia" w:ascii="Times New Roman" w:hAnsi="Times New Roman" w:eastAsia="仿宋" w:cs="Times New Roman"/>
          <w:sz w:val="28"/>
          <w:szCs w:val="28"/>
          <w:lang w:eastAsia="zh-CN"/>
        </w:rPr>
        <w:t>吕梁市</w:t>
      </w:r>
      <w:r>
        <w:rPr>
          <w:rFonts w:hint="default" w:ascii="Times New Roman" w:hAnsi="Times New Roman" w:eastAsia="仿宋" w:cs="Times New Roman"/>
          <w:sz w:val="28"/>
          <w:szCs w:val="28"/>
        </w:rPr>
        <w:t xml:space="preserve">人民政府发布。 </w:t>
      </w:r>
    </w:p>
    <w:p w14:paraId="063E7D73">
      <w:pPr>
        <w:pStyle w:val="4"/>
        <w:bidi w:val="0"/>
        <w:rPr>
          <w:rFonts w:hint="default"/>
          <w:lang w:val="en-US" w:eastAsia="zh-CN"/>
        </w:rPr>
      </w:pPr>
      <w:bookmarkStart w:id="78" w:name="_Toc14229"/>
      <w:r>
        <w:rPr>
          <w:rFonts w:hint="default"/>
          <w:lang w:val="en-US" w:eastAsia="zh-CN"/>
        </w:rPr>
        <w:t>4.12.3发布的主要内容</w:t>
      </w:r>
      <w:bookmarkEnd w:id="78"/>
      <w:r>
        <w:rPr>
          <w:rFonts w:hint="default"/>
          <w:lang w:val="en-US" w:eastAsia="zh-CN"/>
        </w:rPr>
        <w:t xml:space="preserve"> </w:t>
      </w:r>
    </w:p>
    <w:p w14:paraId="4BC57B5F">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一般发布内容包括以下内容。 </w:t>
      </w:r>
    </w:p>
    <w:p w14:paraId="4DB4D5A3">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 xml:space="preserve">）发生事故的单位名称和地址。 </w:t>
      </w:r>
    </w:p>
    <w:p w14:paraId="7F97AF5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 xml:space="preserve">）事件发生时间或预期持续时间。 </w:t>
      </w:r>
    </w:p>
    <w:p w14:paraId="0BE9267B">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 xml:space="preserve">）事件类型（分为固定源、流动源和非点源等突发环境事件）、起因和性质。 </w:t>
      </w:r>
    </w:p>
    <w:p w14:paraId="0DB482E0">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）事件影响的当前状况和发展趋势，已采取的措施。</w:t>
      </w:r>
    </w:p>
    <w:p w14:paraId="0502F548">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（5）提醒公众应注意的防范措施，紧急情况的热线电话及其它必要信息。 </w:t>
      </w:r>
    </w:p>
    <w:p w14:paraId="323E2E09">
      <w:pPr>
        <w:pStyle w:val="3"/>
        <w:bidi w:val="0"/>
        <w:rPr>
          <w:rFonts w:hint="default"/>
          <w:lang w:val="en-US" w:eastAsia="zh-CN"/>
        </w:rPr>
      </w:pPr>
      <w:bookmarkStart w:id="79" w:name="_Toc28458"/>
      <w:bookmarkStart w:id="80" w:name="_Toc29969"/>
      <w:r>
        <w:rPr>
          <w:rFonts w:hint="default"/>
          <w:lang w:val="en-US" w:eastAsia="zh-CN"/>
        </w:rPr>
        <w:t>4.</w:t>
      </w:r>
      <w:r>
        <w:rPr>
          <w:rFonts w:hint="eastAsia"/>
          <w:lang w:val="en-US" w:eastAsia="zh-CN"/>
        </w:rPr>
        <w:t>13</w:t>
      </w:r>
      <w:r>
        <w:rPr>
          <w:rFonts w:hint="default"/>
          <w:lang w:val="en-US" w:eastAsia="zh-CN"/>
        </w:rPr>
        <w:t>响应终止</w:t>
      </w:r>
      <w:bookmarkEnd w:id="79"/>
      <w:bookmarkEnd w:id="80"/>
      <w:r>
        <w:rPr>
          <w:rFonts w:hint="default"/>
          <w:lang w:val="en-US" w:eastAsia="zh-CN"/>
        </w:rPr>
        <w:t xml:space="preserve"> </w:t>
      </w:r>
    </w:p>
    <w:p w14:paraId="0A38D109">
      <w:pPr>
        <w:pStyle w:val="4"/>
        <w:bidi w:val="0"/>
        <w:rPr>
          <w:rFonts w:hint="default"/>
          <w:lang w:val="en-US" w:eastAsia="zh-CN"/>
        </w:rPr>
      </w:pPr>
      <w:bookmarkStart w:id="81" w:name="_Toc21545"/>
      <w:r>
        <w:rPr>
          <w:rFonts w:hint="default"/>
          <w:lang w:val="en-US" w:eastAsia="zh-CN"/>
        </w:rPr>
        <w:t>4.</w:t>
      </w:r>
      <w:r>
        <w:rPr>
          <w:rFonts w:hint="eastAsia"/>
          <w:lang w:val="en-US" w:eastAsia="zh-CN"/>
        </w:rPr>
        <w:t>13</w:t>
      </w:r>
      <w:r>
        <w:rPr>
          <w:rFonts w:hint="default"/>
          <w:lang w:val="en-US" w:eastAsia="zh-CN"/>
        </w:rPr>
        <w:t>.1 应急响应终止条件</w:t>
      </w:r>
      <w:bookmarkEnd w:id="81"/>
      <w:r>
        <w:rPr>
          <w:rFonts w:hint="default"/>
          <w:lang w:val="en-US" w:eastAsia="zh-CN"/>
        </w:rPr>
        <w:t xml:space="preserve"> </w:t>
      </w:r>
    </w:p>
    <w:p w14:paraId="226D8C6D">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如符合下列情形之一的，应急响应终止： </w:t>
      </w:r>
    </w:p>
    <w:p w14:paraId="58DB146B">
      <w:pPr>
        <w:keepNext w:val="0"/>
        <w:keepLines w:val="0"/>
        <w:pageBreakBefore w:val="0"/>
        <w:widowControl w:val="0"/>
        <w:numPr>
          <w:ilvl w:val="0"/>
          <w:numId w:val="1"/>
        </w:numPr>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进入水源保护区范围的污染物已成功围堵，且清运至水源保护区外，未向水源地保护区扩散时；</w:t>
      </w:r>
    </w:p>
    <w:p w14:paraId="66FEEA81">
      <w:pPr>
        <w:keepNext w:val="0"/>
        <w:keepLines w:val="0"/>
        <w:pageBreakBefore w:val="0"/>
        <w:widowControl w:val="0"/>
        <w:numPr>
          <w:ilvl w:val="0"/>
          <w:numId w:val="1"/>
        </w:numPr>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进入水源保护区范围的污染团已成功拦截或导流至水源保护区外，没有向水源地扩散的风险，且水质监测结果稳定达标； </w:t>
      </w:r>
    </w:p>
    <w:p w14:paraId="5365C7BF">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（3）恢复正常取水时。 </w:t>
      </w:r>
    </w:p>
    <w:p w14:paraId="414F21A9">
      <w:pPr>
        <w:pStyle w:val="4"/>
        <w:bidi w:val="0"/>
        <w:rPr>
          <w:rFonts w:hint="default"/>
          <w:lang w:val="en-US" w:eastAsia="zh-CN"/>
        </w:rPr>
      </w:pPr>
      <w:bookmarkStart w:id="82" w:name="_Toc23201"/>
      <w:r>
        <w:rPr>
          <w:rFonts w:hint="default"/>
          <w:lang w:val="en-US" w:eastAsia="zh-CN"/>
        </w:rPr>
        <w:t>4.</w:t>
      </w:r>
      <w:r>
        <w:rPr>
          <w:rFonts w:hint="eastAsia"/>
          <w:lang w:val="en-US" w:eastAsia="zh-CN"/>
        </w:rPr>
        <w:t>13</w:t>
      </w:r>
      <w:r>
        <w:rPr>
          <w:rFonts w:hint="default"/>
          <w:lang w:val="en-US" w:eastAsia="zh-CN"/>
        </w:rPr>
        <w:t>.2 应急响应终止程序</w:t>
      </w:r>
      <w:bookmarkEnd w:id="82"/>
      <w:r>
        <w:rPr>
          <w:rFonts w:hint="default"/>
          <w:lang w:val="en-US" w:eastAsia="zh-CN"/>
        </w:rPr>
        <w:t xml:space="preserve"> </w:t>
      </w:r>
    </w:p>
    <w:p w14:paraId="16A5062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ascii="Times New Roman" w:hAnsi="Times New Roman" w:eastAsia="仿宋" w:cs="Times New Roman"/>
          <w:sz w:val="28"/>
          <w:szCs w:val="28"/>
          <w:lang w:eastAsia="zh-CN"/>
        </w:rPr>
        <w:t>汾阳市</w:t>
      </w:r>
      <w:r>
        <w:rPr>
          <w:rFonts w:hint="default" w:ascii="Times New Roman" w:hAnsi="Times New Roman" w:eastAsia="仿宋" w:cs="Times New Roman"/>
          <w:sz w:val="28"/>
          <w:szCs w:val="28"/>
        </w:rPr>
        <w:t xml:space="preserve">饮用水水源地突发环境事件应急响应终止应按照以下程序进行： </w:t>
      </w:r>
    </w:p>
    <w:p w14:paraId="471B2CF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 xml:space="preserve">）应急指挥部办公室根据应急监测、事件处置情况，确认事件已具备应急终止条件后，提出应急响应终止建议，报应急指挥部批准。 </w:t>
      </w:r>
    </w:p>
    <w:p w14:paraId="2D80AC67">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 xml:space="preserve">）应急指挥部办公室可通过电话、电视、网络等媒体向社会发布应急响应终止信息。现场应急指挥部接到应急指挥部的应急响应终止通知后，宣布终止应急状态，转入正常工作。 </w:t>
      </w:r>
    </w:p>
    <w:p w14:paraId="5782D858">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）应急终止后，</w:t>
      </w:r>
      <w:r>
        <w:rPr>
          <w:rFonts w:hint="eastAsia" w:cs="Times New Roman"/>
          <w:sz w:val="28"/>
          <w:szCs w:val="28"/>
          <w:lang w:eastAsia="zh-CN"/>
        </w:rPr>
        <w:t>相关部门</w:t>
      </w:r>
      <w:r>
        <w:rPr>
          <w:rFonts w:hint="default" w:ascii="Times New Roman" w:hAnsi="Times New Roman" w:eastAsia="仿宋" w:cs="Times New Roman"/>
          <w:sz w:val="28"/>
          <w:szCs w:val="28"/>
        </w:rPr>
        <w:t xml:space="preserve">根据应急指挥部有关指示和实际情况，继续进行监测、监控和评估，直至本次事件的影响完全消除。 </w:t>
      </w:r>
    </w:p>
    <w:p w14:paraId="60DBA2A7">
      <w:pPr>
        <w:pStyle w:val="2"/>
        <w:bidi w:val="0"/>
        <w:rPr>
          <w:rFonts w:hint="default"/>
        </w:rPr>
      </w:pPr>
      <w:bookmarkStart w:id="83" w:name="_Toc23756"/>
      <w:bookmarkStart w:id="84" w:name="_Toc20353"/>
      <w:r>
        <w:rPr>
          <w:rFonts w:hint="default"/>
        </w:rPr>
        <w:t>第五章</w:t>
      </w:r>
      <w:r>
        <w:rPr>
          <w:rFonts w:hint="default"/>
          <w:lang w:val="en-US" w:eastAsia="zh-CN"/>
        </w:rPr>
        <w:t xml:space="preserve"> </w:t>
      </w:r>
      <w:r>
        <w:rPr>
          <w:rFonts w:hint="default"/>
        </w:rPr>
        <w:t>后期工作</w:t>
      </w:r>
      <w:bookmarkEnd w:id="83"/>
      <w:bookmarkEnd w:id="84"/>
    </w:p>
    <w:p w14:paraId="54A1056B">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饮用水水源地突发环境事件应急终止后，由</w:t>
      </w: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制定善后污染防控内容和工作要点，根据不同污染类型，组织开展善后处置工作，包括后期防控、事件调查，</w:t>
      </w:r>
      <w:r>
        <w:rPr>
          <w:rFonts w:hint="eastAsia" w:cs="Times New Roman"/>
          <w:sz w:val="28"/>
          <w:szCs w:val="28"/>
          <w:lang w:val="en-US" w:eastAsia="zh-CN"/>
        </w:rPr>
        <w:t>损</w:t>
      </w:r>
      <w:r>
        <w:rPr>
          <w:rFonts w:hint="default" w:ascii="Times New Roman" w:hAnsi="Times New Roman" w:eastAsia="仿宋" w:cs="Times New Roman"/>
          <w:sz w:val="28"/>
          <w:szCs w:val="28"/>
        </w:rPr>
        <w:t xml:space="preserve">害评估和善后处置等工作。 </w:t>
      </w:r>
    </w:p>
    <w:p w14:paraId="5B9FAE80">
      <w:pPr>
        <w:pStyle w:val="3"/>
        <w:bidi w:val="0"/>
        <w:rPr>
          <w:rFonts w:hint="default"/>
          <w:lang w:val="en-US" w:eastAsia="zh-CN"/>
        </w:rPr>
      </w:pPr>
      <w:bookmarkStart w:id="85" w:name="_Toc967"/>
      <w:bookmarkStart w:id="86" w:name="_Toc13255"/>
      <w:r>
        <w:rPr>
          <w:rFonts w:hint="default"/>
          <w:lang w:val="en-US" w:eastAsia="zh-CN"/>
        </w:rPr>
        <w:t>5.1后期防控</w:t>
      </w:r>
      <w:bookmarkEnd w:id="85"/>
      <w:bookmarkEnd w:id="86"/>
      <w:r>
        <w:rPr>
          <w:rFonts w:hint="default"/>
          <w:lang w:val="en-US" w:eastAsia="zh-CN"/>
        </w:rPr>
        <w:t xml:space="preserve"> </w:t>
      </w:r>
    </w:p>
    <w:p w14:paraId="74544F37">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宣布应急响应终止后，</w:t>
      </w:r>
      <w:r>
        <w:rPr>
          <w:rFonts w:hint="eastAsia"/>
          <w:lang w:eastAsia="zh-CN"/>
        </w:rPr>
        <w:t>汾阳市1</w:t>
      </w:r>
      <w:r>
        <w:rPr>
          <w:rFonts w:hint="eastAsia"/>
          <w:lang w:val="en-US" w:eastAsia="zh-CN"/>
        </w:rPr>
        <w:t>0</w:t>
      </w:r>
      <w:r>
        <w:rPr>
          <w:rFonts w:hint="eastAsia"/>
          <w:lang w:eastAsia="zh-CN"/>
        </w:rPr>
        <w:t>处乡镇集中式饮用水水源地</w:t>
      </w:r>
      <w:r>
        <w:rPr>
          <w:rFonts w:hint="default" w:ascii="Times New Roman" w:hAnsi="Times New Roman" w:eastAsia="仿宋" w:cs="Times New Roman"/>
          <w:sz w:val="28"/>
          <w:szCs w:val="28"/>
        </w:rPr>
        <w:t xml:space="preserve">应急指挥部要组织现场应急工作组继续保持或采取必要措施，包括对泄漏的油品、化学品进行回收；部分污染物导流到饮用水水源地下游或其它区域，对这些区域的污染物进行清除；组织进行后期污染监测和治理，消除污染物的残留毒性和后期效应；在事故场地及蔓延区域的污染物清理后，对其土壤或水生态系统进行修复等。防止发生次生、衍生事故发生。同时在总指挥和上级部门的统一领导下，根据事故损失情况，制定救助、补偿、抚慰、安置等方案及恢复重建计划，做好各项善后工作，并配合开展环境损害评估、赔偿、事件调查处理等。 </w:t>
      </w:r>
    </w:p>
    <w:p w14:paraId="64C73F0E">
      <w:pPr>
        <w:pStyle w:val="3"/>
        <w:bidi w:val="0"/>
        <w:rPr>
          <w:rFonts w:hint="default"/>
          <w:lang w:val="en-US" w:eastAsia="zh-CN"/>
        </w:rPr>
      </w:pPr>
      <w:bookmarkStart w:id="87" w:name="_Toc2282"/>
      <w:bookmarkStart w:id="88" w:name="_Toc31702"/>
      <w:r>
        <w:rPr>
          <w:rFonts w:hint="default"/>
          <w:lang w:val="en-US" w:eastAsia="zh-CN"/>
        </w:rPr>
        <w:t>5.2事件调查</w:t>
      </w:r>
      <w:bookmarkEnd w:id="87"/>
      <w:bookmarkEnd w:id="88"/>
      <w:r>
        <w:rPr>
          <w:rFonts w:hint="default"/>
          <w:lang w:val="en-US" w:eastAsia="zh-CN"/>
        </w:rPr>
        <w:t xml:space="preserve"> </w:t>
      </w:r>
    </w:p>
    <w:p w14:paraId="48D573B1">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突发环境事件发生后，由</w:t>
      </w:r>
      <w:r>
        <w:rPr>
          <w:rFonts w:hint="eastAsia" w:cs="Times New Roman"/>
          <w:sz w:val="28"/>
          <w:szCs w:val="28"/>
          <w:lang w:val="en-US" w:eastAsia="zh-CN"/>
        </w:rPr>
        <w:t>各乡镇人民政府</w:t>
      </w:r>
      <w:r>
        <w:rPr>
          <w:rFonts w:hint="default" w:ascii="Times New Roman" w:hAnsi="Times New Roman" w:eastAsia="仿宋" w:cs="Times New Roman"/>
          <w:sz w:val="28"/>
          <w:szCs w:val="28"/>
        </w:rPr>
        <w:t>牵头组织开展事件调查。</w:t>
      </w:r>
      <w:r>
        <w:rPr>
          <w:rFonts w:hint="eastAsia" w:cs="Times New Roman"/>
          <w:sz w:val="28"/>
          <w:szCs w:val="28"/>
          <w:lang w:val="en-US" w:eastAsia="zh-CN"/>
        </w:rPr>
        <w:t>吕梁</w:t>
      </w:r>
      <w:r>
        <w:rPr>
          <w:rFonts w:hint="default" w:ascii="Times New Roman" w:hAnsi="Times New Roman" w:eastAsia="仿宋" w:cs="Times New Roman"/>
          <w:sz w:val="28"/>
          <w:szCs w:val="28"/>
        </w:rPr>
        <w:t>市生态环境局</w:t>
      </w:r>
      <w:r>
        <w:rPr>
          <w:rFonts w:hint="eastAsia" w:ascii="Times New Roman" w:hAnsi="Times New Roman" w:eastAsia="仿宋" w:cs="Times New Roman"/>
          <w:sz w:val="28"/>
          <w:szCs w:val="28"/>
          <w:lang w:eastAsia="zh-CN"/>
        </w:rPr>
        <w:t>汾阳</w:t>
      </w:r>
      <w:r>
        <w:rPr>
          <w:rFonts w:hint="default" w:ascii="Times New Roman" w:hAnsi="Times New Roman" w:eastAsia="仿宋" w:cs="Times New Roman"/>
          <w:sz w:val="28"/>
          <w:szCs w:val="28"/>
        </w:rPr>
        <w:t xml:space="preserve">分局认为需要由上一级环境保护主管部门调查处理的，可以报请上一级环境保护主管部门决定。 </w:t>
      </w:r>
    </w:p>
    <w:p w14:paraId="56EECCD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突发环境事件调查应当遵循实事求是、客观公正、权责一致的原则，通过对监测数据进行污染源分析、明察暗访等方式及时准确查明事件原因，确认事件性质，认定事件责任，总结事件教训，提出防范和整改措施建议以及处理意见，形成调查报告。 </w:t>
      </w:r>
    </w:p>
    <w:p w14:paraId="5DC0966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突发环境事件调查报告应当包括下列内容： </w:t>
      </w:r>
    </w:p>
    <w:p w14:paraId="1F52B01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①突发环境事件发生单位的概况和突发环境事件发生经过； </w:t>
      </w:r>
    </w:p>
    <w:p w14:paraId="0747A731">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②</w:t>
      </w:r>
      <w:r>
        <w:rPr>
          <w:rFonts w:hint="default" w:ascii="Times New Roman" w:hAnsi="Times New Roman" w:eastAsia="仿宋" w:cs="Times New Roman"/>
          <w:sz w:val="28"/>
          <w:szCs w:val="28"/>
        </w:rPr>
        <w:t xml:space="preserve">突发环境事件造成的人身伤亡、直接经济损失，环境污染和生态破坏的情况； </w:t>
      </w:r>
    </w:p>
    <w:p w14:paraId="1621D0D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③</w:t>
      </w:r>
      <w:r>
        <w:rPr>
          <w:rFonts w:hint="default" w:ascii="Times New Roman" w:hAnsi="Times New Roman" w:eastAsia="仿宋" w:cs="Times New Roman"/>
          <w:sz w:val="28"/>
          <w:szCs w:val="28"/>
        </w:rPr>
        <w:t xml:space="preserve">突发环境事件发生的原因和性质； </w:t>
      </w:r>
    </w:p>
    <w:p w14:paraId="5222AD7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eastAsia="zh-CN"/>
        </w:rPr>
        <w:t>④</w:t>
      </w:r>
      <w:r>
        <w:rPr>
          <w:rFonts w:hint="default" w:ascii="Times New Roman" w:hAnsi="Times New Roman" w:eastAsia="仿宋" w:cs="Times New Roman"/>
          <w:sz w:val="28"/>
          <w:szCs w:val="28"/>
        </w:rPr>
        <w:t xml:space="preserve">突发环境事件发生单位对环境风险的防范、隐患整改和应急处置情况； </w:t>
      </w:r>
    </w:p>
    <w:p w14:paraId="31410F6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eastAsia="zh-CN"/>
        </w:rPr>
        <w:t>⑤</w:t>
      </w:r>
      <w:r>
        <w:rPr>
          <w:rFonts w:hint="default" w:ascii="Times New Roman" w:hAnsi="Times New Roman" w:eastAsia="仿宋" w:cs="Times New Roman"/>
          <w:sz w:val="28"/>
          <w:szCs w:val="28"/>
        </w:rPr>
        <w:t xml:space="preserve">地方政府和相关部门日常监管和应急处置情况； </w:t>
      </w:r>
    </w:p>
    <w:p w14:paraId="5DF4CBB6">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eastAsia="zh-CN"/>
        </w:rPr>
        <w:t>⑥</w:t>
      </w:r>
      <w:r>
        <w:rPr>
          <w:rFonts w:hint="default" w:ascii="Times New Roman" w:hAnsi="Times New Roman" w:eastAsia="仿宋" w:cs="Times New Roman"/>
          <w:sz w:val="28"/>
          <w:szCs w:val="28"/>
        </w:rPr>
        <w:t xml:space="preserve">责任认定和对突发环境事件发生单位、责任人的处理建议； </w:t>
      </w:r>
    </w:p>
    <w:p w14:paraId="7271A391">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eastAsia="zh-CN"/>
        </w:rPr>
        <w:t>⑦</w:t>
      </w:r>
      <w:r>
        <w:rPr>
          <w:rFonts w:hint="default" w:ascii="Times New Roman" w:hAnsi="Times New Roman" w:eastAsia="仿宋" w:cs="Times New Roman"/>
          <w:sz w:val="28"/>
          <w:szCs w:val="28"/>
        </w:rPr>
        <w:t xml:space="preserve">突发环境事件防范和整改措施建议； </w:t>
      </w:r>
    </w:p>
    <w:p w14:paraId="50A243A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eastAsia="zh-CN"/>
        </w:rPr>
        <w:t>⑧</w:t>
      </w:r>
      <w:r>
        <w:rPr>
          <w:rFonts w:hint="default" w:ascii="Times New Roman" w:hAnsi="Times New Roman" w:eastAsia="仿宋" w:cs="Times New Roman"/>
          <w:sz w:val="28"/>
          <w:szCs w:val="28"/>
        </w:rPr>
        <w:t xml:space="preserve">其他有必要报告的内容。重大突发环境事件的调查期限为60 日，较大突发环境事件和一般突发环境事件的调查期限为30 日。 </w:t>
      </w:r>
    </w:p>
    <w:p w14:paraId="68F57617">
      <w:pPr>
        <w:pStyle w:val="3"/>
        <w:bidi w:val="0"/>
        <w:rPr>
          <w:rFonts w:hint="default"/>
          <w:lang w:val="en-US" w:eastAsia="zh-CN"/>
        </w:rPr>
      </w:pPr>
      <w:bookmarkStart w:id="89" w:name="_Toc19544"/>
      <w:bookmarkStart w:id="90" w:name="_Toc3471"/>
      <w:r>
        <w:rPr>
          <w:rFonts w:hint="default"/>
          <w:lang w:val="en-US" w:eastAsia="zh-CN"/>
        </w:rPr>
        <w:t>5.3 损害评估</w:t>
      </w:r>
      <w:bookmarkEnd w:id="89"/>
      <w:bookmarkEnd w:id="90"/>
      <w:r>
        <w:rPr>
          <w:rFonts w:hint="default"/>
          <w:lang w:val="en-US" w:eastAsia="zh-CN"/>
        </w:rPr>
        <w:t xml:space="preserve"> </w:t>
      </w:r>
    </w:p>
    <w:p w14:paraId="356CDF5B">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损害评估部门由</w:t>
      </w:r>
      <w:r>
        <w:rPr>
          <w:rFonts w:hint="eastAsia" w:cs="Times New Roman"/>
          <w:sz w:val="28"/>
          <w:szCs w:val="28"/>
          <w:lang w:val="en-US" w:eastAsia="zh-CN"/>
        </w:rPr>
        <w:t>各乡镇人民政府</w:t>
      </w:r>
      <w:r>
        <w:rPr>
          <w:rFonts w:hint="default" w:ascii="Times New Roman" w:hAnsi="Times New Roman" w:eastAsia="仿宋" w:cs="Times New Roman"/>
          <w:sz w:val="28"/>
          <w:szCs w:val="28"/>
        </w:rPr>
        <w:t>委托第三方评估机构进行评估</w:t>
      </w:r>
      <w:r>
        <w:rPr>
          <w:rFonts w:hint="default" w:ascii="Times New Roman" w:hAnsi="Times New Roman" w:eastAsia="仿宋" w:cs="Times New Roman"/>
          <w:sz w:val="28"/>
          <w:szCs w:val="28"/>
          <w:lang w:eastAsia="zh-CN"/>
        </w:rPr>
        <w:t>。</w:t>
      </w:r>
    </w:p>
    <w:p w14:paraId="30B2E9EF">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饮用水水源地突发环境事件损害评估按照（《突发环境事件应急处置阶段污染损害评估工作程序规定》、《突发环境事件应急处置阶段环境损害评估推荐方法》、《环境损害鉴定评估推荐方法（第 II 版）》）等相关规定执行。并将评估结论向社会公开。 </w:t>
      </w:r>
    </w:p>
    <w:p w14:paraId="3AAC7CC7">
      <w:pPr>
        <w:pStyle w:val="3"/>
        <w:bidi w:val="0"/>
        <w:rPr>
          <w:rFonts w:hint="default"/>
          <w:lang w:val="en-US" w:eastAsia="zh-CN"/>
        </w:rPr>
      </w:pPr>
      <w:bookmarkStart w:id="91" w:name="_Toc5539"/>
      <w:bookmarkStart w:id="92" w:name="_Toc29107"/>
      <w:r>
        <w:rPr>
          <w:rFonts w:hint="default"/>
          <w:lang w:val="en-US" w:eastAsia="zh-CN"/>
        </w:rPr>
        <w:t>5.4 善后处置</w:t>
      </w:r>
      <w:bookmarkEnd w:id="91"/>
      <w:bookmarkEnd w:id="92"/>
      <w:r>
        <w:rPr>
          <w:rFonts w:hint="default"/>
          <w:lang w:val="en-US" w:eastAsia="zh-CN"/>
        </w:rPr>
        <w:t xml:space="preserve"> </w:t>
      </w:r>
    </w:p>
    <w:p w14:paraId="47A338DD">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饮用水水源地突发环境事件应急响应终止后，在</w:t>
      </w: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 xml:space="preserve">的统一领导下，各部门要做好善后处置工作，包括损害赔偿、风险源整改和污染场地修复等。根据事件调查明确的突发环境事件责任人，由其进行赔偿，并按照损害评估估算的损害大小确定赔偿金额和方式；对于因建筑设计、工艺流程不规范，泄漏污染物堆放或处置不当等方面原因引发的事故，应对相应的设计及操作流程进行整改 </w:t>
      </w:r>
    </w:p>
    <w:p w14:paraId="56260887">
      <w:pPr>
        <w:pStyle w:val="4"/>
        <w:bidi w:val="0"/>
        <w:rPr>
          <w:rFonts w:hint="default"/>
          <w:lang w:val="en-US" w:eastAsia="zh-CN"/>
        </w:rPr>
      </w:pPr>
      <w:bookmarkStart w:id="93" w:name="_Toc18990"/>
      <w:r>
        <w:rPr>
          <w:rFonts w:hint="default"/>
          <w:lang w:val="en-US" w:eastAsia="zh-CN"/>
        </w:rPr>
        <w:t>5.4.1 损害赔偿</w:t>
      </w:r>
      <w:bookmarkEnd w:id="93"/>
      <w:r>
        <w:rPr>
          <w:rFonts w:hint="default"/>
          <w:lang w:val="en-US" w:eastAsia="zh-CN"/>
        </w:rPr>
        <w:t xml:space="preserve"> </w:t>
      </w:r>
    </w:p>
    <w:p w14:paraId="74F98299">
      <w:pPr>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饮用水水源地突发事件的损失及影响应及时进行定性和定量的总结、分析、评估。应急指挥部组织</w:t>
      </w:r>
      <w:r>
        <w:rPr>
          <w:rFonts w:hint="eastAsia" w:cs="Times New Roman"/>
          <w:sz w:val="28"/>
          <w:szCs w:val="28"/>
          <w:lang w:eastAsia="zh-CN"/>
        </w:rPr>
        <w:t>相关部门</w:t>
      </w:r>
      <w:r>
        <w:rPr>
          <w:rFonts w:hint="default" w:ascii="Times New Roman" w:hAnsi="Times New Roman" w:eastAsia="仿宋" w:cs="Times New Roman"/>
          <w:sz w:val="28"/>
          <w:szCs w:val="28"/>
        </w:rPr>
        <w:t>，对应急抢险需要、调集、征用</w:t>
      </w:r>
      <w:r>
        <w:rPr>
          <w:rFonts w:hint="eastAsia" w:cs="Times New Roman"/>
          <w:sz w:val="28"/>
          <w:szCs w:val="28"/>
          <w:lang w:eastAsia="zh-CN"/>
        </w:rPr>
        <w:t>相关部门</w:t>
      </w:r>
      <w:r>
        <w:rPr>
          <w:rFonts w:hint="default" w:ascii="Times New Roman" w:hAnsi="Times New Roman" w:eastAsia="仿宋" w:cs="Times New Roman"/>
          <w:sz w:val="28"/>
          <w:szCs w:val="28"/>
        </w:rPr>
        <w:t xml:space="preserve">、企业物资的，应进行合理评估，给予补偿。对灾情损失及影响进行统计评估，出具相关的评估报告。制订补偿标准和事后恢复计划，并迅速实施。 </w:t>
      </w:r>
    </w:p>
    <w:p w14:paraId="11BEB34B">
      <w:pPr>
        <w:pStyle w:val="4"/>
        <w:bidi w:val="0"/>
        <w:rPr>
          <w:rFonts w:hint="default"/>
          <w:lang w:val="en-US" w:eastAsia="zh-CN"/>
        </w:rPr>
      </w:pPr>
      <w:bookmarkStart w:id="94" w:name="_Toc32649"/>
      <w:r>
        <w:rPr>
          <w:rFonts w:hint="default"/>
          <w:lang w:val="en-US" w:eastAsia="zh-CN"/>
        </w:rPr>
        <w:t>5.4.2 风险源整改</w:t>
      </w:r>
      <w:bookmarkEnd w:id="94"/>
    </w:p>
    <w:p w14:paraId="1B27C7B0">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各专业部门和专业技术人员应按照专业技术规程，做好现场污染物的收集处理工作。有关现场清理和处理工作，应根据专家对灾害事故的性质和传播范围等进行认定，由公安消防、卫生、农业等职能部门设立警戒哨，划定警戒范围，由专业部门和技术人员采取相应的方式及时进行处理，处理完毕后，有关专业部门应继续对现场情况进行监控，根据专家评估结论，再进行解除警戒。对于因建筑设计、工艺流程不规范，泄漏污染物堆放或处置不当等方面原因引发的事故，应对相应的设计及操作流程进行整改。 </w:t>
      </w:r>
    </w:p>
    <w:p w14:paraId="2828DC29">
      <w:pPr>
        <w:keepNext w:val="0"/>
        <w:keepLines w:val="0"/>
        <w:pageBreakBefore w:val="0"/>
        <w:widowControl w:val="0"/>
        <w:kinsoku/>
        <w:overflowPunct/>
        <w:topLinePunct w:val="0"/>
        <w:bidi w:val="0"/>
        <w:spacing w:line="360"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br w:type="page"/>
      </w:r>
    </w:p>
    <w:p w14:paraId="22466E03">
      <w:pPr>
        <w:pStyle w:val="2"/>
        <w:bidi w:val="0"/>
        <w:rPr>
          <w:rFonts w:hint="default"/>
        </w:rPr>
      </w:pPr>
      <w:bookmarkStart w:id="95" w:name="_Toc1227"/>
      <w:bookmarkStart w:id="96" w:name="_Toc6591"/>
      <w:r>
        <w:rPr>
          <w:rFonts w:hint="default"/>
        </w:rPr>
        <w:t>第六章</w:t>
      </w:r>
      <w:r>
        <w:rPr>
          <w:rFonts w:hint="default"/>
          <w:lang w:val="en-US" w:eastAsia="zh-CN"/>
        </w:rPr>
        <w:t xml:space="preserve"> </w:t>
      </w:r>
      <w:r>
        <w:rPr>
          <w:rFonts w:hint="default"/>
        </w:rPr>
        <w:t>应急保障</w:t>
      </w:r>
      <w:bookmarkEnd w:id="95"/>
      <w:bookmarkEnd w:id="96"/>
    </w:p>
    <w:p w14:paraId="4FA6758E">
      <w:pPr>
        <w:pStyle w:val="3"/>
        <w:bidi w:val="0"/>
        <w:rPr>
          <w:rFonts w:hint="default"/>
          <w:lang w:val="en-US" w:eastAsia="zh-CN"/>
        </w:rPr>
      </w:pPr>
      <w:bookmarkStart w:id="97" w:name="_Toc1236"/>
      <w:bookmarkStart w:id="98" w:name="_Toc30780"/>
      <w:r>
        <w:rPr>
          <w:rFonts w:hint="default"/>
          <w:lang w:val="en-US" w:eastAsia="zh-CN"/>
        </w:rPr>
        <w:t>6.1 通信与信息保障</w:t>
      </w:r>
      <w:bookmarkEnd w:id="97"/>
      <w:bookmarkEnd w:id="98"/>
      <w:r>
        <w:rPr>
          <w:rFonts w:hint="default"/>
          <w:lang w:val="en-US" w:eastAsia="zh-CN"/>
        </w:rPr>
        <w:t xml:space="preserve"> </w:t>
      </w:r>
    </w:p>
    <w:p w14:paraId="390AA8BC">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 xml:space="preserve">、应急办公室及应急工作组成员要建立完善的通讯联络系统，确保通讯畅通。应急办公室及专项工作组成员单位保持值班电话全天有人接听，并在节假日安排人员值班。电信、移动、联通等部门负责通信与信息线路的维护工作，确保通信畅通。要充分发挥信息网络系统的作用，确保应急时能够统一调动有关人员，物资迅速到位。 </w:t>
      </w:r>
    </w:p>
    <w:p w14:paraId="36872C64">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负责对外发布事件信息及应急处置进展情况。应急办公室负责提供准确、权威的信息，应急指挥部组织统一发布，确保信息准确、及时传递，正确引导社会舆论。</w:t>
      </w:r>
    </w:p>
    <w:p w14:paraId="22B87B50">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事件发生的第一时间要向社会发布简要信息，随后发布初步核实情况、应对措施等，并根据事件处置情况做好后续发布工作。 </w:t>
      </w:r>
    </w:p>
    <w:p w14:paraId="5CD4FF12">
      <w:pPr>
        <w:pStyle w:val="3"/>
        <w:bidi w:val="0"/>
        <w:rPr>
          <w:rFonts w:hint="default"/>
          <w:lang w:val="en-US" w:eastAsia="zh-CN"/>
        </w:rPr>
      </w:pPr>
      <w:bookmarkStart w:id="99" w:name="_Toc411"/>
      <w:bookmarkStart w:id="100" w:name="_Toc12585"/>
      <w:r>
        <w:rPr>
          <w:rFonts w:hint="default"/>
          <w:lang w:val="en-US" w:eastAsia="zh-CN"/>
        </w:rPr>
        <w:t>6.2 应急队伍保障</w:t>
      </w:r>
      <w:bookmarkEnd w:id="99"/>
      <w:bookmarkEnd w:id="100"/>
      <w:r>
        <w:rPr>
          <w:rFonts w:hint="default"/>
          <w:lang w:val="en-US" w:eastAsia="zh-CN"/>
        </w:rPr>
        <w:t xml:space="preserve"> </w:t>
      </w:r>
    </w:p>
    <w:p w14:paraId="6804D193">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、应急办公室、现场应急工作组由</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 xml:space="preserve">各职能部门组成，形成完善应急救援体系，确保在事件发生时，能迅速控制污染，减少对人员、生态、经济活动及水源地的危害，保证环境恢复和用水安全。 </w:t>
      </w:r>
    </w:p>
    <w:p w14:paraId="4A04D073">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应每年至少对应急指挥成员单位开展一次应急队伍知识技能培训。培训内容包括信息报告、个体防护、应急资源的使用、应急监测布点方法及监测方法、应急处理方法等培，确保事发应急队伍快速应对。 </w:t>
      </w:r>
    </w:p>
    <w:p w14:paraId="599AB798">
      <w:pPr>
        <w:pStyle w:val="3"/>
        <w:bidi w:val="0"/>
        <w:rPr>
          <w:rFonts w:hint="default"/>
          <w:lang w:val="en-US" w:eastAsia="zh-CN"/>
        </w:rPr>
      </w:pPr>
      <w:bookmarkStart w:id="101" w:name="_Toc10253"/>
      <w:bookmarkStart w:id="102" w:name="_Toc12902"/>
      <w:r>
        <w:rPr>
          <w:rFonts w:hint="default"/>
          <w:lang w:val="en-US" w:eastAsia="zh-CN"/>
        </w:rPr>
        <w:t>6.3 应急资源保障</w:t>
      </w:r>
      <w:bookmarkEnd w:id="101"/>
      <w:bookmarkEnd w:id="102"/>
      <w:r>
        <w:rPr>
          <w:rFonts w:hint="default"/>
          <w:lang w:val="en-US" w:eastAsia="zh-CN"/>
        </w:rPr>
        <w:t xml:space="preserve"> </w:t>
      </w:r>
    </w:p>
    <w:p w14:paraId="155787F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 xml:space="preserve">要按照职责分工，做好环境应急救援物资紧急调配、储备调拨工作，保障突发环境事件应急处置和环境恢复治理工作的需要。加强对当地环境应急物资储备信息的动态管理，包括应急监测设备的调配和管理。 </w:t>
      </w:r>
    </w:p>
    <w:p w14:paraId="32D36A48">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完善饮用水水源地突发环境事件应急处置物资储备库。同时利用</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级以上政府及其</w:t>
      </w:r>
      <w:r>
        <w:rPr>
          <w:rFonts w:hint="eastAsia" w:cs="Times New Roman"/>
          <w:sz w:val="28"/>
          <w:szCs w:val="28"/>
          <w:lang w:eastAsia="zh-CN"/>
        </w:rPr>
        <w:t>相关部门</w:t>
      </w:r>
      <w:r>
        <w:rPr>
          <w:rFonts w:hint="default" w:ascii="Times New Roman" w:hAnsi="Times New Roman" w:eastAsia="仿宋" w:cs="Times New Roman"/>
          <w:sz w:val="28"/>
          <w:szCs w:val="28"/>
        </w:rPr>
        <w:t>的应急物资储备，以及社会化应急物资储备，保障应急物资、生活必需品的生产和供给。物资储备应根据事件和演练经验，持续改进提高药剂、物资、装备的存放规范、应急设施的建设位置等，确保事件发生时能够快速高效的使用应急资源。</w:t>
      </w:r>
    </w:p>
    <w:p w14:paraId="19A96DB0">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lang w:val="en-US"/>
        </w:rPr>
      </w:pPr>
      <w:r>
        <w:rPr>
          <w:rFonts w:hint="default" w:ascii="Times New Roman" w:hAnsi="Times New Roman" w:eastAsia="仿宋" w:cs="Times New Roman"/>
          <w:sz w:val="28"/>
          <w:szCs w:val="28"/>
          <w:lang w:val="en-US" w:eastAsia="zh-CN"/>
        </w:rPr>
        <w:t>应急物资配备及存放详情见</w:t>
      </w:r>
      <w:r>
        <w:rPr>
          <w:rFonts w:hint="eastAsia" w:ascii="Times New Roman" w:hAnsi="Times New Roman" w:eastAsia="仿宋" w:cs="Times New Roman"/>
          <w:sz w:val="28"/>
          <w:szCs w:val="28"/>
          <w:lang w:val="en-US" w:eastAsia="zh-CN"/>
        </w:rPr>
        <w:t>汾阳市</w:t>
      </w:r>
      <w:r>
        <w:rPr>
          <w:rFonts w:hint="default" w:ascii="Times New Roman" w:hAnsi="Times New Roman" w:eastAsia="仿宋" w:cs="Times New Roman"/>
          <w:sz w:val="28"/>
          <w:szCs w:val="28"/>
          <w:lang w:val="en-US" w:eastAsia="zh-CN"/>
        </w:rPr>
        <w:t>饮用水水源地环境应急资源调查报告。</w:t>
      </w:r>
    </w:p>
    <w:p w14:paraId="7864AD7B">
      <w:pPr>
        <w:pStyle w:val="3"/>
        <w:bidi w:val="0"/>
        <w:rPr>
          <w:rFonts w:hint="default"/>
          <w:lang w:val="en-US" w:eastAsia="zh-CN"/>
        </w:rPr>
      </w:pPr>
      <w:bookmarkStart w:id="103" w:name="_Toc18174"/>
      <w:bookmarkStart w:id="104" w:name="_Toc3109"/>
      <w:r>
        <w:rPr>
          <w:rFonts w:hint="default"/>
          <w:lang w:val="en-US" w:eastAsia="zh-CN"/>
        </w:rPr>
        <w:t>6.4 经费保障</w:t>
      </w:r>
      <w:bookmarkEnd w:id="103"/>
      <w:bookmarkEnd w:id="104"/>
      <w:r>
        <w:rPr>
          <w:rFonts w:hint="default"/>
          <w:lang w:val="en-US" w:eastAsia="zh-CN"/>
        </w:rPr>
        <w:t xml:space="preserve"> </w:t>
      </w:r>
    </w:p>
    <w:p w14:paraId="34152F24">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突发环境事件应急工作费用，包括应急预案编制、演练、修订、应急物资采购等费用由</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财政预算支出。</w:t>
      </w: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 xml:space="preserve">财政、监察和审计部门加强应急工作经费的审计和监督管理，确保专款专用等。 </w:t>
      </w:r>
    </w:p>
    <w:p w14:paraId="773A2F63">
      <w:pPr>
        <w:pStyle w:val="3"/>
        <w:bidi w:val="0"/>
        <w:rPr>
          <w:rFonts w:hint="default"/>
          <w:lang w:val="en-US" w:eastAsia="zh-CN"/>
        </w:rPr>
      </w:pPr>
      <w:bookmarkStart w:id="105" w:name="_Toc4164"/>
      <w:bookmarkStart w:id="106" w:name="_Toc11068"/>
      <w:r>
        <w:rPr>
          <w:rFonts w:hint="default"/>
          <w:lang w:val="en-US" w:eastAsia="zh-CN"/>
        </w:rPr>
        <w:t>6.5 技术保障</w:t>
      </w:r>
      <w:bookmarkEnd w:id="105"/>
      <w:bookmarkEnd w:id="106"/>
      <w:r>
        <w:rPr>
          <w:rFonts w:hint="default"/>
          <w:lang w:val="en-US" w:eastAsia="zh-CN"/>
        </w:rPr>
        <w:t xml:space="preserve"> </w:t>
      </w:r>
    </w:p>
    <w:p w14:paraId="49CCAE4C">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 xml:space="preserve">建立相关专业的专家团队为饮用水水源地突发环境事件预防和应急处置工作提供有力的技术支撑； </w:t>
      </w:r>
    </w:p>
    <w:p w14:paraId="5F52FF6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2、</w:t>
      </w:r>
      <w:r>
        <w:rPr>
          <w:rFonts w:hint="eastAsia" w:cs="Times New Roman"/>
          <w:sz w:val="28"/>
          <w:szCs w:val="28"/>
          <w:lang w:eastAsia="zh-CN"/>
        </w:rPr>
        <w:t>汾阳市10处乡镇集中式饮用水水源地应急指挥部</w:t>
      </w:r>
      <w:r>
        <w:rPr>
          <w:rFonts w:hint="default" w:ascii="Times New Roman" w:hAnsi="Times New Roman" w:eastAsia="仿宋" w:cs="Times New Roman"/>
          <w:sz w:val="28"/>
          <w:szCs w:val="28"/>
        </w:rPr>
        <w:t>办公室和</w:t>
      </w:r>
      <w:r>
        <w:rPr>
          <w:rFonts w:hint="eastAsia" w:cs="Times New Roman"/>
          <w:sz w:val="28"/>
          <w:szCs w:val="28"/>
          <w:lang w:eastAsia="zh-CN"/>
        </w:rPr>
        <w:t>相关部门</w:t>
      </w:r>
      <w:r>
        <w:rPr>
          <w:rFonts w:hint="default" w:ascii="Times New Roman" w:hAnsi="Times New Roman" w:eastAsia="仿宋" w:cs="Times New Roman"/>
          <w:sz w:val="28"/>
          <w:szCs w:val="28"/>
        </w:rPr>
        <w:t xml:space="preserve">共同配合监测单位按照应急需要加强关于饮用水水源地监测技术方面的保障建设，确保监测数据信息完整可靠。 </w:t>
      </w:r>
    </w:p>
    <w:p w14:paraId="6563DAF3">
      <w:pPr>
        <w:pStyle w:val="3"/>
        <w:bidi w:val="0"/>
        <w:rPr>
          <w:rFonts w:hint="default"/>
          <w:lang w:val="en-US" w:eastAsia="zh-CN"/>
        </w:rPr>
      </w:pPr>
      <w:bookmarkStart w:id="107" w:name="_Toc4769"/>
      <w:bookmarkStart w:id="108" w:name="_Toc5027"/>
      <w:bookmarkStart w:id="109" w:name="_Toc16266"/>
      <w:r>
        <w:rPr>
          <w:rFonts w:hint="default"/>
          <w:lang w:val="en-US" w:eastAsia="zh-CN"/>
        </w:rPr>
        <w:t>6.6 其它保障</w:t>
      </w:r>
      <w:bookmarkEnd w:id="107"/>
      <w:bookmarkEnd w:id="108"/>
      <w:r>
        <w:rPr>
          <w:rFonts w:hint="default"/>
          <w:lang w:val="en-US" w:eastAsia="zh-CN"/>
        </w:rPr>
        <w:t xml:space="preserve"> </w:t>
      </w:r>
    </w:p>
    <w:p w14:paraId="3D43CA9B">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 xml:space="preserve">卫生部门要快速组织医疗救护队伍进入救灾现场，对伤员进行救治，及时检查、监测灾区的食品、饮用水源安全情况。食品药品监管部门要迅速组织向水源地突发事件影响地区提供所需药品、医疗器械。卫体局负责公共卫生信息系统建设。准确掌握急救资源状况（院前急救、综合医院急诊科、急救队伍等），建立动态数据库，明确医疗救治和疾病预防控制机构的资源分布、救治能力和专长等，全面提高城市公共卫生管理和应急处置能力。 </w:t>
      </w:r>
    </w:p>
    <w:p w14:paraId="0FBF2B6C">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 xml:space="preserve">交通运输部门要健全公路、铁路紧急运输保障体系，保障应急响应所需人员、物资、装备、器材等的运输。公安部门要加强应急交通管理，保障运送伤病员、应急救援人员、物资、装备、器材车辆的优先通行。 </w:t>
      </w:r>
    </w:p>
    <w:p w14:paraId="45DD29A0">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 xml:space="preserve">突发事件发生后，由事件发生地人民政府负责治安保障，迅速组织公安部门在突发事件处置现场设立警戒区，负责事故现场治安警戒和管理。警备区和武警支队予以协助和配合，承担对重要场所、重点人群、重要物资的防范防护，维持现场秩序，依法严厉打击违法犯罪活动，全力维护突发事件发生地区的社会稳定。 </w:t>
      </w:r>
    </w:p>
    <w:p w14:paraId="161B1235">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br w:type="page"/>
      </w:r>
    </w:p>
    <w:p w14:paraId="7FC3FF1F">
      <w:pPr>
        <w:pStyle w:val="2"/>
        <w:bidi w:val="0"/>
        <w:rPr>
          <w:rFonts w:hint="default"/>
        </w:rPr>
        <w:sectPr>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2F25C686">
      <w:pPr>
        <w:widowControl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right="0" w:firstLine="0" w:firstLineChars="0"/>
        <w:jc w:val="center"/>
        <w:outlineLvl w:val="0"/>
        <w:rPr>
          <w:rFonts w:hint="eastAsia" w:ascii="Times New Roman" w:hAnsi="Times New Roman" w:eastAsia="仿宋" w:cs="Times New Roman"/>
          <w:b/>
          <w:bCs/>
          <w:kern w:val="44"/>
          <w:sz w:val="32"/>
          <w:szCs w:val="32"/>
          <w:highlight w:val="none"/>
          <w:lang w:val="en-US" w:eastAsia="zh-CN" w:bidi="ar"/>
        </w:rPr>
      </w:pPr>
      <w:bookmarkStart w:id="110" w:name="_Toc3366"/>
      <w:bookmarkStart w:id="111" w:name="_Toc6580"/>
      <w:bookmarkStart w:id="112" w:name="_Toc27002"/>
      <w:r>
        <w:rPr>
          <w:rFonts w:hint="eastAsia" w:ascii="Times New Roman" w:hAnsi="Times New Roman" w:eastAsia="仿宋" w:cs="Times New Roman"/>
          <w:b/>
          <w:bCs/>
          <w:kern w:val="44"/>
          <w:sz w:val="32"/>
          <w:szCs w:val="32"/>
          <w:highlight w:val="none"/>
          <w:lang w:val="en-US" w:eastAsia="zh-CN" w:bidi="ar"/>
        </w:rPr>
        <w:t>第七章 监督管理</w:t>
      </w:r>
      <w:bookmarkEnd w:id="110"/>
      <w:bookmarkEnd w:id="111"/>
      <w:bookmarkEnd w:id="112"/>
    </w:p>
    <w:p w14:paraId="247CBD40">
      <w:pPr>
        <w:keepNext/>
        <w:keepLines/>
        <w:widowControl w:val="0"/>
        <w:bidi w:val="0"/>
        <w:spacing w:beforeLines="0" w:beforeAutospacing="0" w:afterLines="0" w:afterAutospacing="0" w:line="360" w:lineRule="auto"/>
        <w:ind w:firstLine="0" w:firstLineChars="0"/>
        <w:jc w:val="both"/>
        <w:outlineLvl w:val="1"/>
        <w:rPr>
          <w:rFonts w:hint="eastAsia" w:ascii="Times New Roman" w:hAnsi="Times New Roman" w:eastAsia="仿宋" w:cs="Times New Roman"/>
          <w:b/>
          <w:bCs/>
          <w:kern w:val="2"/>
          <w:sz w:val="30"/>
          <w:szCs w:val="30"/>
          <w:highlight w:val="none"/>
          <w:lang w:val="en-US" w:eastAsia="zh-CN" w:bidi="ar-SA"/>
        </w:rPr>
      </w:pPr>
      <w:bookmarkStart w:id="113" w:name="_Toc7434"/>
      <w:bookmarkStart w:id="114" w:name="_Toc3966"/>
      <w:bookmarkStart w:id="115" w:name="_Toc5565"/>
      <w:r>
        <w:rPr>
          <w:rFonts w:hint="eastAsia" w:ascii="Times New Roman" w:hAnsi="Times New Roman" w:eastAsia="仿宋" w:cs="Times New Roman"/>
          <w:b/>
          <w:bCs/>
          <w:kern w:val="2"/>
          <w:sz w:val="30"/>
          <w:szCs w:val="30"/>
          <w:highlight w:val="none"/>
          <w:lang w:val="en-US" w:eastAsia="zh-CN" w:bidi="ar-SA"/>
        </w:rPr>
        <w:t>7.1宣传与培训</w:t>
      </w:r>
      <w:bookmarkEnd w:id="113"/>
      <w:bookmarkEnd w:id="114"/>
      <w:bookmarkEnd w:id="115"/>
    </w:p>
    <w:p w14:paraId="0B66F77C">
      <w:pPr>
        <w:jc w:val="both"/>
        <w:rPr>
          <w:rFonts w:hint="default"/>
          <w:highlight w:val="none"/>
          <w:lang w:val="en-US" w:eastAsia="zh-CN"/>
        </w:rPr>
      </w:pPr>
      <w:r>
        <w:rPr>
          <w:rFonts w:hint="default"/>
          <w:highlight w:val="none"/>
          <w:lang w:val="en-US" w:eastAsia="zh-CN"/>
        </w:rPr>
        <w:t>通过宣传、授课、操作演练和模拟演习等方式，使</w:t>
      </w:r>
      <w:r>
        <w:rPr>
          <w:rFonts w:hint="eastAsia" w:ascii="Times New Roman" w:eastAsia="仿宋"/>
          <w:highlight w:val="none"/>
          <w:lang w:val="en-US" w:eastAsia="zh-CN"/>
        </w:rPr>
        <w:t>汾阳市</w:t>
      </w:r>
      <w:r>
        <w:rPr>
          <w:rFonts w:hint="eastAsia" w:ascii="Times New Roman"/>
          <w:highlight w:val="none"/>
          <w:lang w:val="en-US" w:eastAsia="zh-CN"/>
        </w:rPr>
        <w:t>10处乡镇集中式</w:t>
      </w:r>
      <w:r>
        <w:rPr>
          <w:rFonts w:hint="default"/>
          <w:highlight w:val="none"/>
          <w:lang w:val="en-US" w:eastAsia="zh-CN"/>
        </w:rPr>
        <w:t>饮用水</w:t>
      </w:r>
      <w:r>
        <w:rPr>
          <w:rFonts w:hint="eastAsia"/>
          <w:highlight w:val="none"/>
          <w:lang w:val="en-US" w:eastAsia="zh-CN"/>
        </w:rPr>
        <w:t>水</w:t>
      </w:r>
      <w:r>
        <w:rPr>
          <w:rFonts w:hint="default"/>
          <w:highlight w:val="none"/>
          <w:lang w:val="en-US" w:eastAsia="zh-CN"/>
        </w:rPr>
        <w:t>源地突发环境事件预警和应急处置专业人员掌握相关知识和技能，提高预警和应急处置能力。宣教与培训内容主要为有关预警和应急处置的法律、法规；预警和应急处置程序及其运行；预警及应急处置的专业知识和技能；预警和应急处置报告的编制和上报程序等。</w:t>
      </w:r>
    </w:p>
    <w:p w14:paraId="788A517D">
      <w:pPr>
        <w:keepNext/>
        <w:keepLines/>
        <w:widowControl w:val="0"/>
        <w:bidi w:val="0"/>
        <w:spacing w:beforeLines="0" w:beforeAutospacing="0" w:afterLines="0" w:afterAutospacing="0" w:line="360" w:lineRule="auto"/>
        <w:ind w:firstLine="0" w:firstLineChars="0"/>
        <w:jc w:val="both"/>
        <w:outlineLvl w:val="1"/>
        <w:rPr>
          <w:rFonts w:hint="eastAsia" w:ascii="Times New Roman" w:hAnsi="Times New Roman" w:eastAsia="仿宋" w:cs="Times New Roman"/>
          <w:b/>
          <w:bCs/>
          <w:kern w:val="2"/>
          <w:sz w:val="30"/>
          <w:szCs w:val="30"/>
          <w:highlight w:val="none"/>
          <w:lang w:val="en-US" w:eastAsia="zh-CN" w:bidi="ar-SA"/>
        </w:rPr>
      </w:pPr>
      <w:bookmarkStart w:id="116" w:name="_Toc31893"/>
      <w:bookmarkStart w:id="117" w:name="_Toc26826"/>
      <w:bookmarkStart w:id="118" w:name="_Toc14706"/>
      <w:r>
        <w:rPr>
          <w:rFonts w:hint="eastAsia" w:ascii="Times New Roman" w:hAnsi="Times New Roman" w:eastAsia="仿宋" w:cs="Times New Roman"/>
          <w:b/>
          <w:bCs/>
          <w:kern w:val="2"/>
          <w:sz w:val="30"/>
          <w:szCs w:val="30"/>
          <w:highlight w:val="none"/>
          <w:lang w:val="en-US" w:eastAsia="zh-CN" w:bidi="ar-SA"/>
        </w:rPr>
        <w:t>7.2应急演练</w:t>
      </w:r>
      <w:bookmarkEnd w:id="116"/>
      <w:bookmarkEnd w:id="117"/>
      <w:bookmarkEnd w:id="118"/>
    </w:p>
    <w:p w14:paraId="4BA96AE3">
      <w:pPr>
        <w:jc w:val="both"/>
        <w:rPr>
          <w:rFonts w:hint="default"/>
          <w:highlight w:val="none"/>
          <w:lang w:val="en-US" w:eastAsia="zh-CN"/>
        </w:rPr>
      </w:pPr>
      <w:r>
        <w:rPr>
          <w:rFonts w:hint="eastAsia" w:ascii="Times New Roman" w:eastAsia="仿宋"/>
          <w:highlight w:val="none"/>
          <w:lang w:val="en-US" w:eastAsia="zh-CN"/>
        </w:rPr>
        <w:t>汾阳市</w:t>
      </w:r>
      <w:r>
        <w:rPr>
          <w:rFonts w:hint="eastAsia" w:ascii="Times New Roman"/>
          <w:highlight w:val="none"/>
          <w:lang w:val="en-US" w:eastAsia="zh-CN"/>
        </w:rPr>
        <w:t>10处乡镇集中式</w:t>
      </w:r>
      <w:r>
        <w:rPr>
          <w:rFonts w:hint="default"/>
          <w:highlight w:val="none"/>
          <w:lang w:val="en-US" w:eastAsia="zh-CN"/>
        </w:rPr>
        <w:t>饮用水</w:t>
      </w:r>
      <w:r>
        <w:rPr>
          <w:rFonts w:hint="eastAsia"/>
          <w:highlight w:val="none"/>
          <w:lang w:val="en-US" w:eastAsia="zh-CN"/>
        </w:rPr>
        <w:t>水</w:t>
      </w:r>
      <w:r>
        <w:rPr>
          <w:rFonts w:hint="default"/>
          <w:highlight w:val="none"/>
          <w:lang w:val="en-US" w:eastAsia="zh-CN"/>
        </w:rPr>
        <w:t>源地应急指挥部办公室根据实际，按照国务院《突发事件应急演练指南》的要求，并结合</w:t>
      </w:r>
      <w:r>
        <w:rPr>
          <w:rFonts w:hint="eastAsia" w:ascii="Times New Roman" w:eastAsia="仿宋"/>
          <w:highlight w:val="none"/>
          <w:lang w:val="en-US" w:eastAsia="zh-CN"/>
        </w:rPr>
        <w:t>汾阳市</w:t>
      </w:r>
      <w:r>
        <w:rPr>
          <w:rFonts w:hint="eastAsia" w:ascii="Times New Roman"/>
          <w:highlight w:val="none"/>
          <w:lang w:val="en-US" w:eastAsia="zh-CN"/>
        </w:rPr>
        <w:t>10处乡镇集中式</w:t>
      </w:r>
      <w:r>
        <w:rPr>
          <w:rFonts w:hint="default"/>
          <w:highlight w:val="none"/>
          <w:lang w:val="en-US" w:eastAsia="zh-CN"/>
        </w:rPr>
        <w:t>饮用水</w:t>
      </w:r>
      <w:r>
        <w:rPr>
          <w:rFonts w:hint="eastAsia"/>
          <w:highlight w:val="none"/>
          <w:lang w:val="en-US" w:eastAsia="zh-CN"/>
        </w:rPr>
        <w:t>水</w:t>
      </w:r>
      <w:r>
        <w:rPr>
          <w:rFonts w:hint="default"/>
          <w:highlight w:val="none"/>
          <w:lang w:val="en-US" w:eastAsia="zh-CN"/>
        </w:rPr>
        <w:t>源地实际情况，定期开展饮用水源地突发环境事件应急处置演练。演练结束后应及时进行总结。</w:t>
      </w:r>
    </w:p>
    <w:p w14:paraId="0886ED4C">
      <w:pPr>
        <w:jc w:val="both"/>
        <w:rPr>
          <w:rFonts w:hint="default"/>
          <w:highlight w:val="none"/>
          <w:lang w:val="en-US" w:eastAsia="zh-CN"/>
        </w:rPr>
      </w:pPr>
      <w:r>
        <w:rPr>
          <w:rFonts w:hint="default"/>
          <w:highlight w:val="none"/>
          <w:lang w:val="en-US" w:eastAsia="zh-CN"/>
        </w:rPr>
        <w:t>应急预案</w:t>
      </w:r>
      <w:r>
        <w:rPr>
          <w:rFonts w:hint="eastAsia"/>
          <w:highlight w:val="none"/>
          <w:lang w:val="en-US" w:eastAsia="zh-CN"/>
        </w:rPr>
        <w:t>在预案有效期内应至少演练一次</w:t>
      </w:r>
      <w:r>
        <w:rPr>
          <w:rFonts w:hint="default"/>
          <w:highlight w:val="none"/>
          <w:lang w:val="en-US" w:eastAsia="zh-CN"/>
        </w:rPr>
        <w:t>，演练内容包括在事故期间通讯系统是否正常运作、信息报送流程、各小组配合情况、人员应急能力、应急资源的使用、应急监测布点方法及监测方法、应急处理方法等。要对演练情况进行总结分析、评价，之后及时修订完善预案。</w:t>
      </w:r>
    </w:p>
    <w:p w14:paraId="425EA1D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1</w:t>
      </w:r>
      <w:r>
        <w:rPr>
          <w:rFonts w:hint="eastAsia" w:cs="Times New Roman"/>
          <w:highlight w:val="none"/>
          <w:lang w:val="en-US" w:eastAsia="zh-CN"/>
        </w:rPr>
        <w:t>.</w:t>
      </w:r>
      <w:r>
        <w:rPr>
          <w:rFonts w:hint="default" w:ascii="Times New Roman" w:hAnsi="Times New Roman" w:eastAsia="仿宋" w:cs="Times New Roman"/>
          <w:highlight w:val="none"/>
        </w:rPr>
        <w:t>演练单位、地点、时间</w:t>
      </w:r>
    </w:p>
    <w:p w14:paraId="11870FB7">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主要参与演练单位：</w:t>
      </w:r>
      <w:r>
        <w:rPr>
          <w:rFonts w:hint="eastAsia"/>
          <w:lang w:val="en-US" w:eastAsia="zh-CN"/>
        </w:rPr>
        <w:t>各乡镇人民镇、汾阳市自然资源局</w:t>
      </w:r>
      <w:r>
        <w:rPr>
          <w:rFonts w:hint="default"/>
          <w:lang w:eastAsia="zh-CN"/>
        </w:rPr>
        <w:t>、</w:t>
      </w:r>
      <w:r>
        <w:rPr>
          <w:rFonts w:hint="eastAsia"/>
          <w:lang w:val="en-US" w:eastAsia="zh-CN"/>
        </w:rPr>
        <w:t>市发改局、市</w:t>
      </w:r>
      <w:r>
        <w:rPr>
          <w:rFonts w:hint="default"/>
        </w:rPr>
        <w:t>商务局</w:t>
      </w:r>
      <w:r>
        <w:rPr>
          <w:rFonts w:hint="default"/>
          <w:lang w:eastAsia="zh-CN"/>
        </w:rPr>
        <w:t>、</w:t>
      </w:r>
      <w:r>
        <w:rPr>
          <w:rFonts w:hint="eastAsia"/>
          <w:lang w:val="en-US" w:eastAsia="zh-CN"/>
        </w:rPr>
        <w:t>市</w:t>
      </w:r>
      <w:r>
        <w:rPr>
          <w:rFonts w:hint="default"/>
        </w:rPr>
        <w:t>城乡建设</w:t>
      </w:r>
      <w:r>
        <w:rPr>
          <w:rFonts w:hint="eastAsia"/>
          <w:lang w:eastAsia="zh-CN"/>
        </w:rPr>
        <w:t>、</w:t>
      </w:r>
      <w:r>
        <w:rPr>
          <w:rFonts w:hint="eastAsia"/>
          <w:lang w:val="en-US" w:eastAsia="zh-CN"/>
        </w:rPr>
        <w:t>市</w:t>
      </w:r>
      <w:r>
        <w:rPr>
          <w:rFonts w:hint="default"/>
        </w:rPr>
        <w:t>交通运输局</w:t>
      </w:r>
      <w:r>
        <w:rPr>
          <w:rFonts w:hint="default"/>
          <w:lang w:eastAsia="zh-CN"/>
        </w:rPr>
        <w:t>、</w:t>
      </w:r>
      <w:r>
        <w:rPr>
          <w:rFonts w:hint="eastAsia"/>
          <w:lang w:val="en-US" w:eastAsia="zh-CN"/>
        </w:rPr>
        <w:t>市</w:t>
      </w:r>
      <w:r>
        <w:rPr>
          <w:rFonts w:hint="default"/>
        </w:rPr>
        <w:t>农业农村</w:t>
      </w:r>
      <w:r>
        <w:rPr>
          <w:rFonts w:hint="eastAsia"/>
          <w:lang w:eastAsia="zh-CN"/>
        </w:rPr>
        <w:t>、</w:t>
      </w:r>
      <w:r>
        <w:rPr>
          <w:rFonts w:hint="eastAsia"/>
          <w:lang w:val="en-US" w:eastAsia="zh-CN"/>
        </w:rPr>
        <w:t>市</w:t>
      </w:r>
      <w:r>
        <w:rPr>
          <w:rFonts w:hint="default"/>
        </w:rPr>
        <w:t>水利局</w:t>
      </w:r>
      <w:r>
        <w:rPr>
          <w:rFonts w:hint="default"/>
          <w:lang w:eastAsia="zh-CN"/>
        </w:rPr>
        <w:t>、</w:t>
      </w:r>
      <w:r>
        <w:rPr>
          <w:rFonts w:hint="eastAsia"/>
          <w:lang w:val="en-US" w:eastAsia="zh-CN"/>
        </w:rPr>
        <w:t>市</w:t>
      </w:r>
      <w:r>
        <w:rPr>
          <w:rFonts w:hint="default"/>
        </w:rPr>
        <w:t>公安局</w:t>
      </w:r>
      <w:r>
        <w:rPr>
          <w:rFonts w:hint="default"/>
          <w:lang w:eastAsia="zh-CN"/>
        </w:rPr>
        <w:t>、</w:t>
      </w:r>
      <w:r>
        <w:rPr>
          <w:rFonts w:hint="eastAsia"/>
          <w:lang w:val="en-US" w:eastAsia="zh-CN"/>
        </w:rPr>
        <w:t>市</w:t>
      </w:r>
      <w:r>
        <w:rPr>
          <w:rFonts w:hint="default"/>
        </w:rPr>
        <w:t>财政局</w:t>
      </w:r>
      <w:r>
        <w:rPr>
          <w:rFonts w:hint="default"/>
          <w:lang w:eastAsia="zh-CN"/>
        </w:rPr>
        <w:t>、</w:t>
      </w:r>
      <w:r>
        <w:rPr>
          <w:rFonts w:hint="eastAsia"/>
          <w:lang w:eastAsia="zh-CN"/>
        </w:rPr>
        <w:t>汾阳市</w:t>
      </w:r>
      <w:r>
        <w:rPr>
          <w:rFonts w:hint="default"/>
        </w:rPr>
        <w:t>卫生健康局</w:t>
      </w:r>
      <w:r>
        <w:rPr>
          <w:rFonts w:hint="default"/>
          <w:lang w:eastAsia="zh-CN"/>
        </w:rPr>
        <w:t>、</w:t>
      </w:r>
      <w:r>
        <w:rPr>
          <w:rFonts w:hint="eastAsia"/>
          <w:lang w:val="en-US" w:eastAsia="zh-CN"/>
        </w:rPr>
        <w:t>汾阳市</w:t>
      </w:r>
      <w:r>
        <w:rPr>
          <w:rFonts w:hint="default"/>
        </w:rPr>
        <w:t>综合行政执法局</w:t>
      </w:r>
      <w:r>
        <w:rPr>
          <w:rFonts w:hint="default"/>
          <w:lang w:eastAsia="zh-CN"/>
        </w:rPr>
        <w:t>、</w:t>
      </w:r>
      <w:r>
        <w:rPr>
          <w:rFonts w:hint="eastAsia"/>
          <w:lang w:val="en-US" w:eastAsia="zh-CN"/>
        </w:rPr>
        <w:t>汾阳市</w:t>
      </w:r>
      <w:r>
        <w:rPr>
          <w:rFonts w:hint="default"/>
        </w:rPr>
        <w:t>气象局</w:t>
      </w:r>
      <w:r>
        <w:rPr>
          <w:rFonts w:hint="default"/>
          <w:lang w:eastAsia="zh-CN"/>
        </w:rPr>
        <w:t>、</w:t>
      </w:r>
      <w:r>
        <w:rPr>
          <w:rFonts w:hint="eastAsia"/>
          <w:lang w:val="en-US" w:eastAsia="zh-CN"/>
        </w:rPr>
        <w:t>汾阳市</w:t>
      </w:r>
      <w:r>
        <w:rPr>
          <w:rFonts w:hint="default"/>
        </w:rPr>
        <w:t>自来水公司</w:t>
      </w:r>
      <w:r>
        <w:rPr>
          <w:rFonts w:hint="default"/>
          <w:lang w:eastAsia="zh-CN"/>
        </w:rPr>
        <w:t>、</w:t>
      </w:r>
      <w:r>
        <w:rPr>
          <w:rFonts w:hint="eastAsia"/>
          <w:lang w:val="en-US" w:eastAsia="zh-CN"/>
        </w:rPr>
        <w:t>吕梁市生态环境局汾阳分局、汾阳市事业服务中心</w:t>
      </w:r>
      <w:r>
        <w:rPr>
          <w:rFonts w:hint="default" w:ascii="Times New Roman" w:hAnsi="Times New Roman" w:eastAsia="仿宋" w:cs="Times New Roman"/>
          <w:highlight w:val="none"/>
        </w:rPr>
        <w:t>。</w:t>
      </w:r>
    </w:p>
    <w:p w14:paraId="7847C167">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 w:cs="Times New Roman"/>
          <w:highlight w:val="none"/>
          <w:lang w:eastAsia="zh-CN"/>
        </w:rPr>
      </w:pPr>
      <w:r>
        <w:rPr>
          <w:rFonts w:hint="default" w:ascii="Times New Roman" w:hAnsi="Times New Roman" w:eastAsia="仿宋" w:cs="Times New Roman"/>
          <w:highlight w:val="none"/>
        </w:rPr>
        <w:t>事件内容设置：</w:t>
      </w:r>
      <w:r>
        <w:rPr>
          <w:rFonts w:hint="eastAsia" w:ascii="Times New Roman" w:eastAsia="仿宋"/>
          <w:highlight w:val="none"/>
          <w:lang w:val="en-US" w:eastAsia="zh-CN"/>
        </w:rPr>
        <w:t>汾阳市</w:t>
      </w:r>
      <w:r>
        <w:rPr>
          <w:rFonts w:hint="eastAsia" w:ascii="Times New Roman"/>
          <w:highlight w:val="none"/>
          <w:lang w:val="en-US" w:eastAsia="zh-CN"/>
        </w:rPr>
        <w:t>10处乡镇集中式</w:t>
      </w:r>
      <w:r>
        <w:rPr>
          <w:rFonts w:hint="default"/>
          <w:highlight w:val="none"/>
          <w:lang w:val="en-US" w:eastAsia="zh-CN"/>
        </w:rPr>
        <w:t>饮用水</w:t>
      </w:r>
      <w:r>
        <w:rPr>
          <w:rFonts w:hint="eastAsia"/>
          <w:highlight w:val="none"/>
          <w:lang w:val="en-US" w:eastAsia="zh-CN"/>
        </w:rPr>
        <w:t>水</w:t>
      </w:r>
      <w:r>
        <w:rPr>
          <w:rFonts w:hint="default"/>
          <w:highlight w:val="none"/>
          <w:lang w:val="en-US" w:eastAsia="zh-CN"/>
        </w:rPr>
        <w:t>源地</w:t>
      </w:r>
      <w:r>
        <w:rPr>
          <w:rFonts w:hint="default" w:ascii="Times New Roman" w:hAnsi="Times New Roman" w:eastAsia="仿宋" w:cs="Times New Roman"/>
          <w:highlight w:val="none"/>
        </w:rPr>
        <w:t>突发环境事件应急演练活动时间：自行安排</w:t>
      </w:r>
      <w:r>
        <w:rPr>
          <w:rFonts w:hint="eastAsia" w:cs="Times New Roman"/>
          <w:highlight w:val="none"/>
          <w:lang w:eastAsia="zh-CN"/>
        </w:rPr>
        <w:t>。</w:t>
      </w:r>
    </w:p>
    <w:p w14:paraId="1CA03523">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 w:cs="Times New Roman"/>
          <w:highlight w:val="none"/>
          <w:lang w:eastAsia="zh-CN"/>
        </w:rPr>
      </w:pPr>
      <w:r>
        <w:rPr>
          <w:rFonts w:hint="default" w:ascii="Times New Roman" w:hAnsi="Times New Roman" w:eastAsia="仿宋" w:cs="Times New Roman"/>
          <w:highlight w:val="none"/>
        </w:rPr>
        <w:t>应急演练活动地点：根据事件演练内容自行设定</w:t>
      </w:r>
      <w:r>
        <w:rPr>
          <w:rFonts w:hint="eastAsia" w:cs="Times New Roman"/>
          <w:highlight w:val="none"/>
          <w:lang w:eastAsia="zh-CN"/>
        </w:rPr>
        <w:t>。</w:t>
      </w:r>
    </w:p>
    <w:p w14:paraId="7C19BCC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2</w:t>
      </w:r>
      <w:r>
        <w:rPr>
          <w:rFonts w:hint="eastAsia" w:cs="Times New Roman"/>
          <w:highlight w:val="none"/>
          <w:lang w:val="en-US" w:eastAsia="zh-CN"/>
        </w:rPr>
        <w:t>.</w:t>
      </w:r>
      <w:r>
        <w:rPr>
          <w:rFonts w:hint="default" w:ascii="Times New Roman" w:hAnsi="Times New Roman" w:eastAsia="仿宋" w:cs="Times New Roman"/>
          <w:highlight w:val="none"/>
        </w:rPr>
        <w:t>具体演练内容</w:t>
      </w:r>
    </w:p>
    <w:p w14:paraId="3891B19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1）演练模拟场景：吕梁市生态环境局汾阳分局123</w:t>
      </w:r>
      <w:r>
        <w:rPr>
          <w:rFonts w:hint="eastAsia" w:cs="Times New Roman"/>
          <w:highlight w:val="none"/>
          <w:lang w:val="en-US" w:eastAsia="zh-CN"/>
        </w:rPr>
        <w:t>45</w:t>
      </w:r>
      <w:r>
        <w:rPr>
          <w:rFonts w:hint="default" w:ascii="Times New Roman" w:hAnsi="Times New Roman" w:eastAsia="仿宋" w:cs="Times New Roman"/>
          <w:highlight w:val="none"/>
        </w:rPr>
        <w:t>值班室接到事发点事故报告，事发点由于某类污染物泄露导致水源地环境受到污染。</w:t>
      </w:r>
    </w:p>
    <w:p w14:paraId="066A261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2）</w:t>
      </w:r>
      <w:r>
        <w:rPr>
          <w:rFonts w:hint="eastAsia" w:cs="Times New Roman"/>
          <w:highlight w:val="none"/>
          <w:lang w:val="en-US" w:eastAsia="zh-CN"/>
        </w:rPr>
        <w:t>12345</w:t>
      </w:r>
      <w:r>
        <w:rPr>
          <w:rFonts w:hint="default" w:ascii="Times New Roman" w:hAnsi="Times New Roman" w:eastAsia="仿宋" w:cs="Times New Roman"/>
          <w:highlight w:val="none"/>
        </w:rPr>
        <w:t>值班人员将此事逐级上报，根据应急指挥办公室主任指令第一时间向</w:t>
      </w:r>
      <w:r>
        <w:rPr>
          <w:rFonts w:hint="eastAsia" w:cs="Times New Roman"/>
          <w:highlight w:val="none"/>
          <w:lang w:val="en-US" w:eastAsia="zh-CN"/>
        </w:rPr>
        <w:t>汾阳市</w:t>
      </w:r>
      <w:r>
        <w:rPr>
          <w:rFonts w:hint="default" w:ascii="Times New Roman" w:hAnsi="Times New Roman" w:eastAsia="仿宋" w:cs="Times New Roman"/>
          <w:highlight w:val="none"/>
        </w:rPr>
        <w:t>政府报告，</w:t>
      </w:r>
      <w:r>
        <w:rPr>
          <w:rFonts w:hint="eastAsia" w:cs="Times New Roman"/>
          <w:highlight w:val="none"/>
          <w:lang w:val="en-US" w:eastAsia="zh-CN"/>
        </w:rPr>
        <w:t>汾阳市</w:t>
      </w:r>
      <w:r>
        <w:rPr>
          <w:rFonts w:hint="default" w:ascii="Times New Roman" w:hAnsi="Times New Roman" w:eastAsia="仿宋" w:cs="Times New Roman"/>
          <w:highlight w:val="none"/>
        </w:rPr>
        <w:t>政府立即启动本预案，确定应急响应级别。同时向各相关部门下达应急指令。</w:t>
      </w:r>
    </w:p>
    <w:p w14:paraId="0AE30B3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3）进入应急状态后，各个单位按照专家组提出的应急处置技术方案迅速行动，展开抢险及应急救援。市汾阳市应急管理局、吕梁市生态环境局汾阳分局、汾阳市农业农村和水利局、汾阳市公安局、汾阳市卫生健康局、汾阳市消防救援大队</w:t>
      </w:r>
      <w:r>
        <w:rPr>
          <w:rFonts w:hint="eastAsia" w:cs="Times New Roman"/>
          <w:highlight w:val="none"/>
          <w:lang w:eastAsia="zh-CN"/>
        </w:rPr>
        <w:t>、</w:t>
      </w:r>
      <w:r>
        <w:rPr>
          <w:rFonts w:hint="default" w:ascii="Times New Roman" w:hAnsi="Times New Roman" w:eastAsia="仿宋" w:cs="Times New Roman"/>
          <w:highlight w:val="none"/>
        </w:rPr>
        <w:t>汾阳市疾病预防控制中心、各乡镇政府等部门组织专业应急队伍实施救援，使事故得到有效控制。</w:t>
      </w:r>
    </w:p>
    <w:p w14:paraId="58C6F3F3">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4）各单位立即出动，采取抢救、设立事发现场及受影响区域的警戒线，对事件现场及附近进行监测，切断污染源等措施，开展应急处置救援工作。</w:t>
      </w:r>
    </w:p>
    <w:p w14:paraId="5FCD708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5）各单位向应急指挥部报告各自应急处置情况。</w:t>
      </w:r>
    </w:p>
    <w:p w14:paraId="59F5449F">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 w:cs="Times New Roman"/>
          <w:highlight w:val="none"/>
          <w:lang w:eastAsia="zh-CN"/>
        </w:rPr>
      </w:pPr>
      <w:r>
        <w:rPr>
          <w:rFonts w:hint="default" w:ascii="Times New Roman" w:hAnsi="Times New Roman" w:eastAsia="仿宋" w:cs="Times New Roman"/>
          <w:highlight w:val="none"/>
        </w:rPr>
        <w:t>6）事发地做好现场善后处理工作，安排现场抢救人员体检，确保安全生产。生态环境部门密切关注水源地环境安全变化情况，控制事态发展</w:t>
      </w:r>
      <w:r>
        <w:rPr>
          <w:rFonts w:hint="eastAsia" w:cs="Times New Roman"/>
          <w:highlight w:val="none"/>
          <w:lang w:val="en-US" w:eastAsia="zh-CN"/>
        </w:rPr>
        <w:t>。</w:t>
      </w:r>
    </w:p>
    <w:p w14:paraId="2AED4D4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 w:cs="Times New Roman"/>
          <w:highlight w:val="none"/>
        </w:rPr>
      </w:pPr>
      <w:r>
        <w:rPr>
          <w:rFonts w:hint="default" w:ascii="Times New Roman" w:hAnsi="Times New Roman" w:eastAsia="仿宋" w:cs="Times New Roman"/>
          <w:highlight w:val="none"/>
        </w:rPr>
        <w:t>7）</w:t>
      </w:r>
      <w:r>
        <w:rPr>
          <w:rFonts w:hint="eastAsia" w:ascii="Times New Roman" w:eastAsia="仿宋"/>
          <w:highlight w:val="none"/>
          <w:lang w:val="en-US" w:eastAsia="zh-CN"/>
        </w:rPr>
        <w:t>汾阳市</w:t>
      </w:r>
      <w:r>
        <w:rPr>
          <w:rFonts w:hint="eastAsia" w:ascii="Times New Roman"/>
          <w:highlight w:val="none"/>
          <w:lang w:val="en-US" w:eastAsia="zh-CN"/>
        </w:rPr>
        <w:t>10处乡镇集中式</w:t>
      </w:r>
      <w:r>
        <w:rPr>
          <w:rFonts w:hint="default"/>
          <w:highlight w:val="none"/>
          <w:lang w:val="en-US" w:eastAsia="zh-CN"/>
        </w:rPr>
        <w:t>饮用水</w:t>
      </w:r>
      <w:r>
        <w:rPr>
          <w:rFonts w:hint="eastAsia"/>
          <w:highlight w:val="none"/>
          <w:lang w:val="en-US" w:eastAsia="zh-CN"/>
        </w:rPr>
        <w:t>水</w:t>
      </w:r>
      <w:r>
        <w:rPr>
          <w:rFonts w:hint="default"/>
          <w:highlight w:val="none"/>
          <w:lang w:val="en-US" w:eastAsia="zh-CN"/>
        </w:rPr>
        <w:t>源地</w:t>
      </w:r>
      <w:r>
        <w:rPr>
          <w:rFonts w:hint="default" w:ascii="Times New Roman" w:hAnsi="Times New Roman" w:eastAsia="仿宋" w:cs="Times New Roman"/>
          <w:highlight w:val="none"/>
        </w:rPr>
        <w:t>应急指挥部下达响应终止命令。</w:t>
      </w:r>
    </w:p>
    <w:p w14:paraId="1AB685CE">
      <w:pPr>
        <w:keepNext w:val="0"/>
        <w:keepLines w:val="0"/>
        <w:pageBreakBefore w:val="0"/>
        <w:widowControl w:val="0"/>
        <w:kinsoku/>
        <w:wordWrap/>
        <w:overflowPunct/>
        <w:topLinePunct w:val="0"/>
        <w:autoSpaceDE/>
        <w:autoSpaceDN/>
        <w:bidi w:val="0"/>
        <w:adjustRightInd/>
        <w:snapToGrid/>
        <w:textAlignment w:val="auto"/>
        <w:rPr>
          <w:rFonts w:ascii="仿宋" w:hAnsi="仿宋" w:eastAsia="仿宋" w:cs="仿宋"/>
          <w:szCs w:val="28"/>
          <w:highlight w:val="none"/>
        </w:rPr>
      </w:pPr>
      <w:r>
        <w:rPr>
          <w:rFonts w:hint="default" w:ascii="Times New Roman" w:hAnsi="Times New Roman" w:eastAsia="仿宋" w:cs="Times New Roman"/>
          <w:highlight w:val="none"/>
        </w:rPr>
        <w:t>8）召开新闻发布会向媒体通报情况，尽快形成总结和分析报告上报。</w:t>
      </w:r>
    </w:p>
    <w:p w14:paraId="24756EB4">
      <w:pPr>
        <w:keepNext/>
        <w:keepLines/>
        <w:widowControl w:val="0"/>
        <w:bidi w:val="0"/>
        <w:spacing w:beforeLines="0" w:beforeAutospacing="0" w:afterLines="0" w:afterAutospacing="0" w:line="360" w:lineRule="auto"/>
        <w:ind w:firstLine="0" w:firstLineChars="0"/>
        <w:jc w:val="both"/>
        <w:outlineLvl w:val="1"/>
        <w:rPr>
          <w:rFonts w:hint="eastAsia" w:ascii="Times New Roman" w:hAnsi="Times New Roman" w:eastAsia="仿宋" w:cs="Times New Roman"/>
          <w:b/>
          <w:bCs/>
          <w:kern w:val="2"/>
          <w:sz w:val="30"/>
          <w:szCs w:val="30"/>
          <w:highlight w:val="none"/>
          <w:lang w:val="en-US" w:eastAsia="zh-CN" w:bidi="ar-SA"/>
        </w:rPr>
      </w:pPr>
      <w:bookmarkStart w:id="119" w:name="_Toc29528"/>
      <w:bookmarkStart w:id="120" w:name="_Toc29966"/>
      <w:bookmarkStart w:id="121" w:name="_Toc16130"/>
      <w:r>
        <w:rPr>
          <w:rFonts w:hint="eastAsia" w:ascii="Times New Roman" w:hAnsi="Times New Roman" w:eastAsia="仿宋" w:cs="Times New Roman"/>
          <w:b/>
          <w:bCs/>
          <w:kern w:val="2"/>
          <w:sz w:val="30"/>
          <w:szCs w:val="30"/>
          <w:highlight w:val="none"/>
          <w:lang w:val="en-US" w:eastAsia="zh-CN" w:bidi="ar-SA"/>
        </w:rPr>
        <w:t>7.3奖惩</w:t>
      </w:r>
      <w:bookmarkEnd w:id="119"/>
      <w:bookmarkEnd w:id="120"/>
      <w:bookmarkEnd w:id="121"/>
    </w:p>
    <w:p w14:paraId="47128A62">
      <w:pPr>
        <w:keepNext/>
        <w:keepLines/>
        <w:widowControl w:val="0"/>
        <w:bidi w:val="0"/>
        <w:spacing w:beforeLines="0" w:beforeAutospacing="0" w:afterLines="0" w:afterAutospacing="0" w:line="360" w:lineRule="auto"/>
        <w:ind w:firstLine="0" w:firstLineChars="0"/>
        <w:jc w:val="both"/>
        <w:outlineLvl w:val="2"/>
        <w:rPr>
          <w:rFonts w:hint="eastAsia" w:ascii="Times New Roman" w:hAnsi="Times New Roman" w:eastAsia="仿宋" w:cs="Times New Roman"/>
          <w:b/>
          <w:bCs/>
          <w:kern w:val="2"/>
          <w:sz w:val="28"/>
          <w:szCs w:val="28"/>
          <w:highlight w:val="none"/>
          <w:lang w:val="en-US" w:eastAsia="zh-CN" w:bidi="ar-SA"/>
        </w:rPr>
      </w:pPr>
      <w:bookmarkStart w:id="122" w:name="_Toc15235"/>
      <w:bookmarkStart w:id="123" w:name="_Toc32323"/>
      <w:bookmarkStart w:id="124" w:name="_Toc22849"/>
      <w:r>
        <w:rPr>
          <w:rFonts w:hint="eastAsia" w:ascii="Times New Roman" w:hAnsi="Times New Roman" w:eastAsia="仿宋" w:cs="Times New Roman"/>
          <w:b/>
          <w:bCs/>
          <w:kern w:val="2"/>
          <w:sz w:val="28"/>
          <w:szCs w:val="28"/>
          <w:highlight w:val="none"/>
          <w:lang w:val="en-US" w:eastAsia="zh-CN" w:bidi="ar-SA"/>
        </w:rPr>
        <w:t>7.3.1奖励</w:t>
      </w:r>
      <w:bookmarkEnd w:id="122"/>
      <w:bookmarkEnd w:id="123"/>
      <w:bookmarkEnd w:id="124"/>
    </w:p>
    <w:p w14:paraId="114EA7F8">
      <w:pPr>
        <w:rPr>
          <w:rFonts w:hint="default"/>
          <w:highlight w:val="none"/>
          <w:lang w:val="en-US" w:eastAsia="zh-CN"/>
        </w:rPr>
      </w:pPr>
      <w:r>
        <w:rPr>
          <w:rFonts w:hint="default"/>
          <w:highlight w:val="none"/>
          <w:lang w:val="en-US" w:eastAsia="zh-CN"/>
        </w:rPr>
        <w:t>饮用水源污染事件应急处置工作，实行行政领导负责制和责任追究制。对在饮用水源污染事件应急处置工作中，作出突出贡献的先进集体和个人要给予表彰和奖励。</w:t>
      </w:r>
    </w:p>
    <w:p w14:paraId="10AD0325">
      <w:pPr>
        <w:keepNext/>
        <w:keepLines/>
        <w:widowControl w:val="0"/>
        <w:bidi w:val="0"/>
        <w:spacing w:beforeLines="0" w:beforeAutospacing="0" w:afterLines="0" w:afterAutospacing="0" w:line="360" w:lineRule="auto"/>
        <w:ind w:firstLine="0" w:firstLineChars="0"/>
        <w:jc w:val="both"/>
        <w:outlineLvl w:val="2"/>
        <w:rPr>
          <w:rFonts w:hint="eastAsia" w:ascii="Times New Roman" w:hAnsi="Times New Roman" w:eastAsia="仿宋" w:cs="Times New Roman"/>
          <w:b/>
          <w:bCs/>
          <w:kern w:val="2"/>
          <w:sz w:val="28"/>
          <w:szCs w:val="28"/>
          <w:highlight w:val="none"/>
          <w:lang w:val="en-US" w:eastAsia="zh-CN" w:bidi="ar-SA"/>
        </w:rPr>
      </w:pPr>
      <w:bookmarkStart w:id="125" w:name="_Toc1493"/>
      <w:bookmarkStart w:id="126" w:name="_Toc23898"/>
      <w:bookmarkStart w:id="127" w:name="_Toc31898"/>
      <w:r>
        <w:rPr>
          <w:rFonts w:hint="eastAsia" w:ascii="Times New Roman" w:hAnsi="Times New Roman" w:eastAsia="仿宋" w:cs="Times New Roman"/>
          <w:b/>
          <w:bCs/>
          <w:kern w:val="2"/>
          <w:sz w:val="28"/>
          <w:szCs w:val="28"/>
          <w:highlight w:val="none"/>
          <w:lang w:val="en-US" w:eastAsia="zh-CN" w:bidi="ar-SA"/>
        </w:rPr>
        <w:t>7.3.2惩罚</w:t>
      </w:r>
      <w:bookmarkEnd w:id="125"/>
      <w:bookmarkEnd w:id="126"/>
      <w:bookmarkEnd w:id="127"/>
    </w:p>
    <w:p w14:paraId="3590E228">
      <w:pPr>
        <w:rPr>
          <w:rFonts w:hint="default"/>
          <w:highlight w:val="none"/>
          <w:lang w:val="en-US" w:eastAsia="zh-CN"/>
        </w:rPr>
      </w:pPr>
      <w:r>
        <w:rPr>
          <w:rFonts w:hint="default"/>
          <w:highlight w:val="none"/>
          <w:lang w:val="en-US" w:eastAsia="zh-CN"/>
        </w:rPr>
        <w:t>在饮用水源污染事件应急处置工作中下列行为之一的，依法对有关责任人员给予行政处分，构成犯罪的，依法追究刑事责任。</w:t>
      </w:r>
    </w:p>
    <w:p w14:paraId="2DE50A6F">
      <w:pPr>
        <w:rPr>
          <w:rFonts w:hint="default"/>
          <w:highlight w:val="none"/>
          <w:lang w:val="en-US" w:eastAsia="zh-CN"/>
        </w:rPr>
      </w:pPr>
      <w:r>
        <w:rPr>
          <w:rFonts w:hint="default"/>
          <w:highlight w:val="none"/>
          <w:lang w:val="en-US" w:eastAsia="zh-CN"/>
        </w:rPr>
        <w:t>1</w:t>
      </w:r>
      <w:r>
        <w:rPr>
          <w:rFonts w:hint="eastAsia" w:ascii="Times New Roman" w:eastAsia="仿宋"/>
          <w:highlight w:val="none"/>
          <w:lang w:val="en-US" w:eastAsia="zh-CN"/>
        </w:rPr>
        <w:t>.</w:t>
      </w:r>
      <w:r>
        <w:rPr>
          <w:rFonts w:hint="default"/>
          <w:highlight w:val="none"/>
          <w:lang w:val="en-US" w:eastAsia="zh-CN"/>
        </w:rPr>
        <w:t>未依照规定履行报告职责，迟报、瞒报、漏报和谎报或者授意他人迟报、瞒报、漏报和谎报饮用水源污染事件重要情况的；</w:t>
      </w:r>
    </w:p>
    <w:p w14:paraId="5F457FA2">
      <w:pPr>
        <w:rPr>
          <w:rFonts w:hint="default"/>
          <w:highlight w:val="none"/>
          <w:lang w:val="en-US" w:eastAsia="zh-CN"/>
        </w:rPr>
      </w:pPr>
      <w:r>
        <w:rPr>
          <w:rFonts w:hint="default"/>
          <w:highlight w:val="none"/>
          <w:lang w:val="en-US" w:eastAsia="zh-CN"/>
        </w:rPr>
        <w:t>2</w:t>
      </w:r>
      <w:r>
        <w:rPr>
          <w:rFonts w:hint="eastAsia" w:ascii="Times New Roman" w:eastAsia="仿宋"/>
          <w:highlight w:val="none"/>
          <w:lang w:val="en-US" w:eastAsia="zh-CN"/>
        </w:rPr>
        <w:t>.</w:t>
      </w:r>
      <w:r>
        <w:rPr>
          <w:rFonts w:hint="default"/>
          <w:highlight w:val="none"/>
          <w:lang w:val="en-US" w:eastAsia="zh-CN"/>
        </w:rPr>
        <w:t>未依照规定完成饮用水源污染事件应急处置所需设施、设备、急需物资的生产、供应、运输和储备的；</w:t>
      </w:r>
    </w:p>
    <w:p w14:paraId="2F4E63AD">
      <w:pPr>
        <w:rPr>
          <w:rFonts w:hint="default"/>
          <w:highlight w:val="none"/>
          <w:lang w:val="en-US" w:eastAsia="zh-CN"/>
        </w:rPr>
      </w:pPr>
      <w:r>
        <w:rPr>
          <w:rFonts w:hint="default"/>
          <w:highlight w:val="none"/>
          <w:lang w:val="en-US" w:eastAsia="zh-CN"/>
        </w:rPr>
        <w:t>3</w:t>
      </w:r>
      <w:r>
        <w:rPr>
          <w:rFonts w:hint="eastAsia" w:ascii="Times New Roman" w:eastAsia="仿宋"/>
          <w:highlight w:val="none"/>
          <w:lang w:val="en-US" w:eastAsia="zh-CN"/>
        </w:rPr>
        <w:t>.</w:t>
      </w:r>
      <w:r>
        <w:rPr>
          <w:rFonts w:hint="default"/>
          <w:highlight w:val="none"/>
          <w:lang w:val="en-US" w:eastAsia="zh-CN"/>
        </w:rPr>
        <w:t>饮用水源地突发环境事件发生后，对上级人民政府有关部门的调查不予配合，或者采取其他方式阻碍、干涉调查的；</w:t>
      </w:r>
    </w:p>
    <w:p w14:paraId="2263E080">
      <w:pPr>
        <w:rPr>
          <w:rFonts w:hint="default"/>
          <w:highlight w:val="none"/>
          <w:lang w:val="en-US" w:eastAsia="zh-CN"/>
        </w:rPr>
      </w:pPr>
      <w:r>
        <w:rPr>
          <w:rFonts w:hint="default"/>
          <w:highlight w:val="none"/>
          <w:lang w:val="en-US" w:eastAsia="zh-CN"/>
        </w:rPr>
        <w:t>4</w:t>
      </w:r>
      <w:r>
        <w:rPr>
          <w:rFonts w:hint="eastAsia" w:ascii="Times New Roman" w:eastAsia="仿宋"/>
          <w:highlight w:val="none"/>
          <w:lang w:val="en-US" w:eastAsia="zh-CN"/>
        </w:rPr>
        <w:t>.</w:t>
      </w:r>
      <w:r>
        <w:rPr>
          <w:rFonts w:hint="default"/>
          <w:highlight w:val="none"/>
          <w:lang w:val="en-US" w:eastAsia="zh-CN"/>
        </w:rPr>
        <w:t>在饮用水源地突发环境事件调查、控制、救治工作中玩忽职守、失职、渎职的；</w:t>
      </w:r>
    </w:p>
    <w:p w14:paraId="154C1BCE">
      <w:pPr>
        <w:rPr>
          <w:rFonts w:hint="default"/>
          <w:highlight w:val="none"/>
          <w:lang w:val="en-US" w:eastAsia="zh-CN"/>
        </w:rPr>
      </w:pPr>
      <w:r>
        <w:rPr>
          <w:rFonts w:hint="default"/>
          <w:highlight w:val="none"/>
          <w:lang w:val="en-US" w:eastAsia="zh-CN"/>
        </w:rPr>
        <w:t>5</w:t>
      </w:r>
      <w:r>
        <w:rPr>
          <w:rFonts w:hint="eastAsia" w:ascii="Times New Roman" w:eastAsia="仿宋"/>
          <w:highlight w:val="none"/>
          <w:lang w:val="en-US" w:eastAsia="zh-CN"/>
        </w:rPr>
        <w:t>.</w:t>
      </w:r>
      <w:r>
        <w:rPr>
          <w:rFonts w:hint="default"/>
          <w:highlight w:val="none"/>
          <w:lang w:val="en-US" w:eastAsia="zh-CN"/>
        </w:rPr>
        <w:t>有关部门应履行而拒不履行应急处理职责的；</w:t>
      </w:r>
    </w:p>
    <w:p w14:paraId="17A2409E">
      <w:pPr>
        <w:rPr>
          <w:rFonts w:hint="default" w:ascii="Times New Roman" w:hAnsi="Times New Roman"/>
          <w:highlight w:val="none"/>
          <w:lang w:val="en-US" w:eastAsia="zh-CN"/>
        </w:rPr>
        <w:sectPr>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ascii="Times New Roman" w:hAnsi="Times New Roman"/>
          <w:highlight w:val="none"/>
          <w:lang w:val="en-US" w:eastAsia="zh-CN"/>
        </w:rPr>
        <w:t>6</w:t>
      </w:r>
      <w:r>
        <w:rPr>
          <w:rFonts w:hint="eastAsia" w:ascii="Times New Roman" w:hAnsi="Times New Roman"/>
          <w:highlight w:val="none"/>
          <w:lang w:val="en-US" w:eastAsia="zh-CN"/>
        </w:rPr>
        <w:t>.</w:t>
      </w:r>
      <w:r>
        <w:rPr>
          <w:rFonts w:hint="default" w:ascii="Times New Roman" w:hAnsi="Times New Roman"/>
          <w:highlight w:val="none"/>
          <w:lang w:val="en-US" w:eastAsia="zh-CN"/>
        </w:rPr>
        <w:t>有其他失职、渎职行为的</w:t>
      </w:r>
      <w:r>
        <w:rPr>
          <w:rFonts w:hint="eastAsia" w:ascii="Times New Roman" w:hAnsi="Times New Roman"/>
          <w:highlight w:val="none"/>
          <w:lang w:val="en-US" w:eastAsia="zh-CN"/>
        </w:rPr>
        <w:t>。</w:t>
      </w:r>
    </w:p>
    <w:p w14:paraId="3F997649">
      <w:pPr>
        <w:pStyle w:val="2"/>
        <w:bidi w:val="0"/>
        <w:rPr>
          <w:rFonts w:hint="default"/>
        </w:rPr>
      </w:pPr>
      <w:bookmarkStart w:id="128" w:name="_Toc7143"/>
      <w:r>
        <w:rPr>
          <w:rFonts w:hint="default"/>
        </w:rPr>
        <w:t>第</w:t>
      </w:r>
      <w:r>
        <w:rPr>
          <w:rFonts w:hint="eastAsia"/>
          <w:lang w:val="en-US" w:eastAsia="zh-CN"/>
        </w:rPr>
        <w:t>八</w:t>
      </w:r>
      <w:r>
        <w:rPr>
          <w:rFonts w:hint="default"/>
        </w:rPr>
        <w:t>章</w:t>
      </w:r>
      <w:r>
        <w:rPr>
          <w:rFonts w:hint="default"/>
          <w:lang w:val="en-US" w:eastAsia="zh-CN"/>
        </w:rPr>
        <w:t xml:space="preserve"> </w:t>
      </w:r>
      <w:r>
        <w:rPr>
          <w:rFonts w:hint="default"/>
        </w:rPr>
        <w:t>附则</w:t>
      </w:r>
      <w:bookmarkEnd w:id="109"/>
      <w:bookmarkEnd w:id="128"/>
    </w:p>
    <w:p w14:paraId="29EBCEA2">
      <w:pPr>
        <w:pStyle w:val="3"/>
        <w:bidi w:val="0"/>
        <w:rPr>
          <w:rFonts w:hint="default"/>
          <w:lang w:val="en-US" w:eastAsia="zh-CN"/>
        </w:rPr>
      </w:pPr>
      <w:bookmarkStart w:id="129" w:name="_Toc10468"/>
      <w:bookmarkStart w:id="130" w:name="_Toc15421"/>
      <w:r>
        <w:rPr>
          <w:rFonts w:hint="eastAsia"/>
          <w:lang w:val="en-US" w:eastAsia="zh-CN"/>
        </w:rPr>
        <w:t>8</w:t>
      </w:r>
      <w:r>
        <w:rPr>
          <w:rFonts w:hint="default"/>
          <w:lang w:val="en-US" w:eastAsia="zh-CN"/>
        </w:rPr>
        <w:t>.1 名词术语</w:t>
      </w:r>
      <w:bookmarkEnd w:id="129"/>
      <w:bookmarkEnd w:id="130"/>
      <w:r>
        <w:rPr>
          <w:rFonts w:hint="default"/>
          <w:lang w:val="en-US" w:eastAsia="zh-CN"/>
        </w:rPr>
        <w:t xml:space="preserve"> </w:t>
      </w:r>
    </w:p>
    <w:p w14:paraId="50ADF6A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集中式饮用水水源地：进入输水管网送到用户和具有一定取水规模（供水人口一般大于 1000 人</w:t>
      </w:r>
      <w:r>
        <w:rPr>
          <w:rFonts w:hint="eastAsia" w:cs="Times New Roman"/>
          <w:sz w:val="28"/>
          <w:szCs w:val="28"/>
          <w:lang w:eastAsia="zh-CN"/>
        </w:rPr>
        <w:t>）</w:t>
      </w:r>
      <w:r>
        <w:rPr>
          <w:rFonts w:hint="default" w:ascii="Times New Roman" w:hAnsi="Times New Roman" w:eastAsia="仿宋" w:cs="Times New Roman"/>
          <w:sz w:val="28"/>
          <w:szCs w:val="28"/>
        </w:rPr>
        <w:t>的在用、备用和规划水源地。依据取水区域不同，集中式饮用水水源地可分为地表水饮用水水源地和地下水饮用水水源地；</w:t>
      </w:r>
    </w:p>
    <w:p w14:paraId="0E352D63">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饮用水水源保护区：指为防止饮用水水源地污染、保证水源水质而划定，并要求加以特殊保护的一定范围的水域和陆域。</w:t>
      </w:r>
    </w:p>
    <w:p w14:paraId="607149A4">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饮用水水源保护区分为一级保护区和二级保护区，必要时可在保护区外划分准保护区。 </w:t>
      </w:r>
    </w:p>
    <w:p w14:paraId="593260FC">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饮用水水源地突发环境事件：指由于污染物排放或自然灾害、生产安全事故、交通运输事故等因素，导致水源地风险物质进入水源保护区或其上游的连接水体，突然造成或可能造成水源地水质超标，影响或可能影响饮用水供水单位（以下简称供水单位）正常取水，危及公众身体健康和财产安全，需要采取紧急措施予以应对的事件。 </w:t>
      </w:r>
    </w:p>
    <w:p w14:paraId="0CB345AA">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水质超标：指水源地水质超过《地下水质量标准》规定的 Ⅲ类水质标准或标准限值的要求。 </w:t>
      </w:r>
    </w:p>
    <w:p w14:paraId="6FB86277">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危险化学品：指具有毒害、腐蚀、爆炸、燃烧、助燃等性质，对人体、设施、环境具有危害的剧毒化学品和其他化学品。</w:t>
      </w:r>
    </w:p>
    <w:p w14:paraId="087F8004">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危险废物：列入国家危险废物名录或者根据国家规定的危险废物鉴别标准和鉴别方法认定的具有危险特性的废物。具有下列情形之一的</w:t>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"https://baike.baidu.com/item/%E5%9B%BA%E4%BD%93%E5%BA%9F%E7%89%A9"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固体废</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"https://baike.baidu.com/item/%E5%9B%BA%E4%BD%93%E5%BA%9F%E7%89%A9"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物</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"https://baike.baidu.com/item/%E5%9B%BA%E4%BD%93%E5%BA%9F%E7%89%A9"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"https://baike.baidu.com/item/%E5%9B%BA%E4%BD%93%E5%BA%9F%E7%89%A9"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包</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t xml:space="preserve">括液态废物），列入国家危险废物名录： </w:t>
      </w:r>
    </w:p>
    <w:p w14:paraId="188B2F10">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一</w:t>
      </w:r>
      <w:r>
        <w:rPr>
          <w:rFonts w:hint="default" w:ascii="Times New Roman" w:hAnsi="Times New Roman" w:eastAsia="仿宋" w:cs="Times New Roman"/>
          <w:sz w:val="28"/>
          <w:szCs w:val="28"/>
        </w:rPr>
        <w:t>）具有</w:t>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"https://baike.baidu.com/item/%E8%85%90%E8%9A%80%E6%80%A7"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腐蚀性、</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t>毒性</w:t>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"https://baike.baidu.com/item/%E6%98%93%E7%87%83%E6%80%A7"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"https://baike.baidu.com/item/%E6%98%93%E7%87%83%E6%80%A7"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易燃性、</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t xml:space="preserve">反应性或者感染性等一种或者几种危险特性的； </w:t>
      </w:r>
    </w:p>
    <w:p w14:paraId="457F3422">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二</w:t>
      </w:r>
      <w:r>
        <w:rPr>
          <w:rFonts w:hint="default" w:ascii="Times New Roman" w:hAnsi="Times New Roman" w:eastAsia="仿宋" w:cs="Times New Roman"/>
          <w:sz w:val="28"/>
          <w:szCs w:val="28"/>
        </w:rPr>
        <w:t xml:space="preserve">）不排除具有危险特性，可能对环境或者人体健康造成有害影响，需要按照危险废物进行管理的。 </w:t>
      </w:r>
    </w:p>
    <w:p w14:paraId="013C5DB5">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环境风险源：指可能发生突发环境事件并对周边环境造成危害的环境因素，环境风险源的危险程度由所涉及的危险物质的特性(物质危险性和物质的量)、危险物质存在的安全状态、所处的周边环境状况三个要素决定。 </w:t>
      </w:r>
    </w:p>
    <w:p w14:paraId="235547AB">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生物性污染：是指病原微生物排入水体后，直接成间接地使人感染或传染各种疾病。衡量指标主要有大肠菌类指数、细菌总数等。 </w:t>
      </w:r>
    </w:p>
    <w:p w14:paraId="5E6DB5D1">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化学性污染：由于化学物质（化学品）进入环境后造成的环境污染。即因化学污染物引起的环境污染。 </w:t>
      </w:r>
    </w:p>
    <w:p w14:paraId="2885E450">
      <w:pPr>
        <w:pStyle w:val="3"/>
        <w:bidi w:val="0"/>
        <w:rPr>
          <w:rFonts w:hint="default"/>
          <w:lang w:val="en-US" w:eastAsia="zh-CN"/>
        </w:rPr>
      </w:pPr>
      <w:bookmarkStart w:id="131" w:name="_Toc7567"/>
      <w:bookmarkStart w:id="132" w:name="_Toc27755"/>
      <w:r>
        <w:rPr>
          <w:rFonts w:hint="eastAsia"/>
          <w:lang w:val="en-US" w:eastAsia="zh-CN"/>
        </w:rPr>
        <w:t>8</w:t>
      </w:r>
      <w:r>
        <w:rPr>
          <w:rFonts w:hint="default"/>
          <w:lang w:val="en-US" w:eastAsia="zh-CN"/>
        </w:rPr>
        <w:t>.2预案制定和解释权属</w:t>
      </w:r>
      <w:bookmarkEnd w:id="131"/>
      <w:bookmarkEnd w:id="132"/>
      <w:r>
        <w:rPr>
          <w:rFonts w:hint="default"/>
          <w:lang w:val="en-US" w:eastAsia="zh-CN"/>
        </w:rPr>
        <w:t xml:space="preserve"> </w:t>
      </w:r>
    </w:p>
    <w:p w14:paraId="7C08452E">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本预案由</w:t>
      </w:r>
      <w:r>
        <w:rPr>
          <w:rFonts w:hint="eastAsia" w:cs="Times New Roman"/>
          <w:sz w:val="28"/>
          <w:szCs w:val="28"/>
          <w:lang w:val="en-US" w:eastAsia="zh-CN"/>
        </w:rPr>
        <w:t>水源地所在各乡镇人民政府</w:t>
      </w:r>
      <w:r>
        <w:rPr>
          <w:rFonts w:hint="default" w:ascii="Times New Roman" w:hAnsi="Times New Roman" w:eastAsia="仿宋" w:cs="Times New Roman"/>
          <w:sz w:val="28"/>
          <w:szCs w:val="28"/>
        </w:rPr>
        <w:t xml:space="preserve">负责解释。 </w:t>
      </w:r>
    </w:p>
    <w:p w14:paraId="3D0F7E55">
      <w:pPr>
        <w:pStyle w:val="3"/>
        <w:bidi w:val="0"/>
        <w:rPr>
          <w:rFonts w:hint="default"/>
          <w:lang w:val="en-US" w:eastAsia="zh-CN"/>
        </w:rPr>
      </w:pPr>
      <w:bookmarkStart w:id="133" w:name="_Toc3658"/>
      <w:bookmarkStart w:id="134" w:name="_Toc21776"/>
      <w:r>
        <w:rPr>
          <w:rFonts w:hint="eastAsia"/>
          <w:lang w:val="en-US" w:eastAsia="zh-CN"/>
        </w:rPr>
        <w:t>8</w:t>
      </w:r>
      <w:r>
        <w:rPr>
          <w:rFonts w:hint="default"/>
          <w:lang w:val="en-US" w:eastAsia="zh-CN"/>
        </w:rPr>
        <w:t>.3预案的评估与修订</w:t>
      </w:r>
      <w:bookmarkEnd w:id="133"/>
      <w:bookmarkEnd w:id="134"/>
      <w:r>
        <w:rPr>
          <w:rFonts w:hint="default"/>
          <w:lang w:val="en-US" w:eastAsia="zh-CN"/>
        </w:rPr>
        <w:t xml:space="preserve"> </w:t>
      </w:r>
    </w:p>
    <w:p w14:paraId="54847D0A">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eastAsia" w:ascii="Times New Roman" w:hAnsi="Times New Roman" w:cs="Times New Roman"/>
          <w:sz w:val="28"/>
          <w:szCs w:val="28"/>
          <w:lang w:eastAsia="zh-CN"/>
        </w:rPr>
        <w:t>汾阳市</w:t>
      </w:r>
      <w:r>
        <w:rPr>
          <w:rFonts w:hint="default" w:ascii="Times New Roman" w:hAnsi="Times New Roman" w:eastAsia="仿宋" w:cs="Times New Roman"/>
          <w:sz w:val="28"/>
          <w:szCs w:val="28"/>
        </w:rPr>
        <w:t xml:space="preserve">人民政府建立本应急预案定期评估制度，重点分析应急预案内容的针对性、实用性和可操作性等，并根据评估情况提出修订应急预案意见，实现应急预案的动态更新优化。本预案原则上每 </w:t>
      </w: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 xml:space="preserve"> 年评估一次。应急预案的评估工作，可以委托第三方专业机构组织实施。 </w:t>
      </w:r>
    </w:p>
    <w:p w14:paraId="5F725AF4">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有下列情形之一的，应当及时修订本预案： </w:t>
      </w:r>
    </w:p>
    <w:p w14:paraId="62D7754B">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 xml:space="preserve">有关法律、行政法规、规章、标准、上位预案中的有关规定发生变化的； </w:t>
      </w:r>
    </w:p>
    <w:p w14:paraId="7A571BFC">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 xml:space="preserve">应急指挥机构及其职责发生重大调整的； </w:t>
      </w:r>
    </w:p>
    <w:p w14:paraId="681C057D">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 xml:space="preserve">在突发事件实际应对和应急演练中发现问题需要作出重大调整的； </w:t>
      </w:r>
    </w:p>
    <w:p w14:paraId="5B2468BA">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 xml:space="preserve">水源地发生变更； </w:t>
      </w:r>
    </w:p>
    <w:p w14:paraId="70520585">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rPr>
        <w:t xml:space="preserve">周围环境或者环境敏感点发生变化的； </w:t>
      </w:r>
    </w:p>
    <w:p w14:paraId="497FE9D9">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right="0" w:rightChars="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6、</w:t>
      </w:r>
      <w:r>
        <w:rPr>
          <w:rFonts w:hint="default" w:ascii="Times New Roman" w:hAnsi="Times New Roman" w:eastAsia="仿宋" w:cs="Times New Roman"/>
          <w:sz w:val="28"/>
          <w:szCs w:val="28"/>
        </w:rPr>
        <w:t xml:space="preserve">其他需要修订预案的原因； </w:t>
      </w:r>
    </w:p>
    <w:p w14:paraId="677FD9F6">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预案修订后，需经</w:t>
      </w:r>
      <w:r>
        <w:rPr>
          <w:rFonts w:hint="eastAsia" w:cs="Times New Roman"/>
          <w:sz w:val="28"/>
          <w:szCs w:val="28"/>
          <w:lang w:eastAsia="zh-CN"/>
        </w:rPr>
        <w:t>汾阳市人民政府</w:t>
      </w:r>
      <w:r>
        <w:rPr>
          <w:rFonts w:hint="default" w:ascii="Times New Roman" w:hAnsi="Times New Roman" w:eastAsia="仿宋" w:cs="Times New Roman"/>
          <w:sz w:val="28"/>
          <w:szCs w:val="28"/>
        </w:rPr>
        <w:t xml:space="preserve">批准发布，并告知与本预案相关的机构和人员。 </w:t>
      </w:r>
    </w:p>
    <w:p w14:paraId="4C5D469F">
      <w:pPr>
        <w:pStyle w:val="3"/>
        <w:bidi w:val="0"/>
        <w:rPr>
          <w:rFonts w:hint="default"/>
          <w:lang w:val="en-US" w:eastAsia="zh-CN"/>
        </w:rPr>
      </w:pPr>
      <w:bookmarkStart w:id="135" w:name="_Toc26981"/>
      <w:bookmarkStart w:id="136" w:name="_Toc27956"/>
      <w:r>
        <w:rPr>
          <w:rFonts w:hint="eastAsia"/>
          <w:lang w:val="en-US" w:eastAsia="zh-CN"/>
        </w:rPr>
        <w:t>8</w:t>
      </w:r>
      <w:r>
        <w:rPr>
          <w:rFonts w:hint="default"/>
          <w:lang w:val="en-US" w:eastAsia="zh-CN"/>
        </w:rPr>
        <w:t>.4 实施日期</w:t>
      </w:r>
      <w:bookmarkEnd w:id="135"/>
      <w:bookmarkEnd w:id="136"/>
      <w:r>
        <w:rPr>
          <w:rFonts w:hint="default"/>
          <w:lang w:val="en-US" w:eastAsia="zh-CN"/>
        </w:rPr>
        <w:t xml:space="preserve"> </w:t>
      </w:r>
    </w:p>
    <w:p w14:paraId="1D6C5C78">
      <w:pPr>
        <w:keepNext w:val="0"/>
        <w:keepLines w:val="0"/>
        <w:pageBreakBefore w:val="0"/>
        <w:widowControl w:val="0"/>
        <w:kinsoku/>
        <w:wordWrap/>
        <w:overflowPunct/>
        <w:topLinePunct w:val="0"/>
        <w:autoSpaceDE/>
        <w:autoSpaceDN/>
        <w:bidi w:val="0"/>
        <w:adjustRightInd/>
        <w:snapToGrid/>
        <w:spacing w:after="0" w:line="360" w:lineRule="auto"/>
        <w:ind w:left="0" w:right="0"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本预案自发布之日起实施。 </w:t>
      </w:r>
    </w:p>
    <w:p w14:paraId="26FA2140">
      <w:pPr>
        <w:keepNext w:val="0"/>
        <w:keepLines w:val="0"/>
        <w:pageBreakBefore w:val="0"/>
        <w:widowControl w:val="0"/>
        <w:kinsoku/>
        <w:overflowPunct/>
        <w:topLinePunct w:val="0"/>
        <w:bidi w:val="0"/>
        <w:spacing w:line="360" w:lineRule="auto"/>
        <w:rPr>
          <w:rFonts w:hint="default" w:ascii="Times New Roman" w:hAnsi="Times New Roman" w:eastAsia="仿宋" w:cs="Times New Roman"/>
          <w:sz w:val="28"/>
          <w:szCs w:val="28"/>
        </w:rPr>
        <w:sectPr>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55DDA90F">
      <w:pPr>
        <w:pStyle w:val="3"/>
        <w:bidi w:val="0"/>
        <w:rPr>
          <w:rFonts w:hint="eastAsia"/>
          <w:lang w:val="en-US" w:eastAsia="zh-CN"/>
        </w:rPr>
      </w:pPr>
      <w:bookmarkStart w:id="137" w:name="_Toc21777"/>
      <w:bookmarkStart w:id="138" w:name="_Toc18890"/>
      <w:r>
        <w:rPr>
          <w:rFonts w:hint="eastAsia"/>
          <w:lang w:val="en-US" w:eastAsia="zh-CN"/>
        </w:rPr>
        <w:t>附图1：汾阳市地理位置区域图</w:t>
      </w:r>
      <w:bookmarkEnd w:id="137"/>
      <w:bookmarkEnd w:id="138"/>
    </w:p>
    <w:p w14:paraId="27BE02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sectPr>
          <w:pgSz w:w="16838" w:h="11906" w:orient="landscape"/>
          <w:pgMar w:top="1440" w:right="1800" w:bottom="1440" w:left="180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r>
        <w:drawing>
          <wp:inline distT="0" distB="0" distL="114300" distR="114300">
            <wp:extent cx="7164705" cy="4916170"/>
            <wp:effectExtent l="0" t="0" r="17145" b="17780"/>
            <wp:docPr id="5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4"/>
                    <pic:cNvPicPr>
                      <a:picLocks noChangeAspect="1"/>
                    </pic:cNvPicPr>
                  </pic:nvPicPr>
                  <pic:blipFill>
                    <a:blip r:embed="rId35"/>
                    <a:stretch>
                      <a:fillRect/>
                    </a:stretch>
                  </pic:blipFill>
                  <pic:spPr>
                    <a:xfrm>
                      <a:off x="0" y="0"/>
                      <a:ext cx="7164705" cy="4916170"/>
                    </a:xfrm>
                    <a:prstGeom prst="rect">
                      <a:avLst/>
                    </a:prstGeom>
                    <a:noFill/>
                    <a:ln>
                      <a:noFill/>
                    </a:ln>
                  </pic:spPr>
                </pic:pic>
              </a:graphicData>
            </a:graphic>
          </wp:inline>
        </w:drawing>
      </w:r>
    </w:p>
    <w:p w14:paraId="556FD926">
      <w:pPr>
        <w:pStyle w:val="3"/>
        <w:bidi w:val="0"/>
        <w:rPr>
          <w:rFonts w:hint="eastAsia"/>
          <w:lang w:val="en-US" w:eastAsia="zh-CN"/>
        </w:rPr>
      </w:pPr>
      <w:bookmarkStart w:id="139" w:name="_Toc31142"/>
      <w:bookmarkStart w:id="140" w:name="_Toc30687"/>
      <w:r>
        <w:rPr>
          <w:rFonts w:hint="eastAsia"/>
          <w:lang w:val="en-US" w:eastAsia="zh-CN"/>
        </w:rPr>
        <w:t>附图2：汾阳市地表水系图</w:t>
      </w:r>
      <w:bookmarkEnd w:id="139"/>
      <w:bookmarkEnd w:id="140"/>
    </w:p>
    <w:p w14:paraId="4E9B53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仿宋"/>
          <w:lang w:eastAsia="zh-CN"/>
        </w:rPr>
        <w:sectPr>
          <w:pgSz w:w="16838" w:h="11906" w:orient="landscape"/>
          <w:pgMar w:top="1440" w:right="1800" w:bottom="1440" w:left="180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hint="eastAsia" w:eastAsia="仿宋"/>
          <w:lang w:eastAsia="zh-CN"/>
        </w:rPr>
        <w:drawing>
          <wp:inline distT="0" distB="0" distL="114300" distR="114300">
            <wp:extent cx="4939030" cy="6555740"/>
            <wp:effectExtent l="0" t="0" r="16510" b="13970"/>
            <wp:docPr id="50" name="图片 25" descr="1d7dd32569aef1d168af0281bfde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5" descr="1d7dd32569aef1d168af0281bfdec00"/>
                    <pic:cNvPicPr>
                      <a:picLocks noChangeAspect="1"/>
                    </pic:cNvPicPr>
                  </pic:nvPicPr>
                  <pic:blipFill>
                    <a:blip r:embed="rId36"/>
                    <a:srcRect l="2864" t="15024" r="6731" b="9789"/>
                    <a:stretch>
                      <a:fillRect/>
                    </a:stretch>
                  </pic:blipFill>
                  <pic:spPr>
                    <a:xfrm rot="5400000">
                      <a:off x="0" y="0"/>
                      <a:ext cx="4939030" cy="6555740"/>
                    </a:xfrm>
                    <a:prstGeom prst="rect">
                      <a:avLst/>
                    </a:prstGeom>
                    <a:noFill/>
                    <a:ln>
                      <a:noFill/>
                    </a:ln>
                  </pic:spPr>
                </pic:pic>
              </a:graphicData>
            </a:graphic>
          </wp:inline>
        </w:drawing>
      </w:r>
    </w:p>
    <w:p w14:paraId="4CCFDC0F">
      <w:pPr>
        <w:pStyle w:val="3"/>
        <w:bidi w:val="0"/>
        <w:rPr>
          <w:rFonts w:hint="eastAsia"/>
          <w:lang w:val="en-US" w:eastAsia="zh-CN"/>
        </w:rPr>
      </w:pPr>
      <w:bookmarkStart w:id="141" w:name="_Toc18813"/>
      <w:r>
        <w:rPr>
          <w:rFonts w:hint="eastAsia"/>
          <w:lang w:val="en-US" w:eastAsia="zh-CN"/>
        </w:rPr>
        <w:t>附件1：应急组织体系图</w:t>
      </w:r>
      <w:bookmarkEnd w:id="141"/>
    </w:p>
    <w:p w14:paraId="0A2F1FBA">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lang w:val="en-US" w:eastAsia="zh-CN"/>
        </w:rPr>
        <w:sectPr>
          <w:pgSz w:w="11906" w:h="16838"/>
          <w:pgMar w:top="1800" w:right="1440" w:bottom="1800" w:left="1440" w:header="851" w:footer="794" w:gutter="0"/>
          <w:pgBorders>
            <w:top w:val="none" w:sz="0" w:space="0"/>
            <w:left w:val="none" w:sz="0" w:space="0"/>
            <w:bottom w:val="none" w:sz="0" w:space="0"/>
            <w:right w:val="none" w:sz="0" w:space="0"/>
          </w:pgBorders>
          <w:pgNumType w:fmt="decimal"/>
          <w:cols w:space="720" w:num="1"/>
          <w:rtlGutter w:val="0"/>
          <w:docGrid w:type="lines" w:linePitch="312" w:charSpace="0"/>
        </w:sectPr>
      </w:pPr>
      <w:r>
        <w:drawing>
          <wp:inline distT="0" distB="0" distL="114300" distR="114300">
            <wp:extent cx="5727700" cy="5971540"/>
            <wp:effectExtent l="0" t="0" r="6350" b="1016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7"/>
                    <a:stretch>
                      <a:fillRect/>
                    </a:stretch>
                  </pic:blipFill>
                  <pic:spPr>
                    <a:xfrm>
                      <a:off x="0" y="0"/>
                      <a:ext cx="5727700" cy="5971540"/>
                    </a:xfrm>
                    <a:prstGeom prst="rect">
                      <a:avLst/>
                    </a:prstGeom>
                    <a:noFill/>
                    <a:ln>
                      <a:noFill/>
                    </a:ln>
                  </pic:spPr>
                </pic:pic>
              </a:graphicData>
            </a:graphic>
          </wp:inline>
        </w:drawing>
      </w:r>
    </w:p>
    <w:p w14:paraId="5BDBA675">
      <w:pPr>
        <w:pStyle w:val="3"/>
        <w:bidi w:val="0"/>
        <w:rPr>
          <w:rFonts w:hint="default"/>
          <w:lang w:val="en-US" w:eastAsia="zh-CN"/>
        </w:rPr>
      </w:pPr>
      <w:bookmarkStart w:id="142" w:name="_Toc17751"/>
      <w:bookmarkStart w:id="143" w:name="_Toc9217"/>
      <w:r>
        <w:rPr>
          <w:rFonts w:hint="default"/>
          <w:lang w:val="en-US" w:eastAsia="zh-CN"/>
        </w:rPr>
        <w:t>附件2：饮用水水源地突发环境事件应急响应工作路线图</w:t>
      </w:r>
      <w:bookmarkEnd w:id="142"/>
      <w:bookmarkEnd w:id="143"/>
    </w:p>
    <w:p w14:paraId="2C136055">
      <w:pPr>
        <w:keepNext w:val="0"/>
        <w:keepLines w:val="0"/>
        <w:pageBreakBefore w:val="0"/>
        <w:widowControl w:val="0"/>
        <w:kinsoku/>
        <w:wordWrap/>
        <w:overflowPunct/>
        <w:topLinePunct w:val="0"/>
        <w:autoSpaceDE/>
        <w:autoSpaceDN/>
        <w:bidi w:val="0"/>
        <w:adjustRightInd/>
        <w:snapToGrid/>
        <w:spacing w:after="0" w:line="360" w:lineRule="auto"/>
        <w:ind w:left="-420" w:leftChars="-150" w:right="0" w:firstLine="0"/>
        <w:jc w:val="right"/>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drawing>
          <wp:inline distT="0" distB="0" distL="114300" distR="114300">
            <wp:extent cx="5730240" cy="6687820"/>
            <wp:effectExtent l="0" t="0" r="3810"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a:stretch>
                      <a:fillRect/>
                    </a:stretch>
                  </pic:blipFill>
                  <pic:spPr>
                    <a:xfrm>
                      <a:off x="0" y="0"/>
                      <a:ext cx="5730240" cy="6687820"/>
                    </a:xfrm>
                    <a:prstGeom prst="rect">
                      <a:avLst/>
                    </a:prstGeom>
                    <a:noFill/>
                    <a:ln>
                      <a:noFill/>
                    </a:ln>
                  </pic:spPr>
                </pic:pic>
              </a:graphicData>
            </a:graphic>
          </wp:inline>
        </w:drawing>
      </w:r>
      <w:r>
        <w:rPr>
          <w:rFonts w:hint="default" w:ascii="Times New Roman" w:hAnsi="Times New Roman" w:eastAsia="仿宋" w:cs="Times New Roman"/>
          <w:sz w:val="28"/>
          <w:szCs w:val="28"/>
        </w:rPr>
        <w:t xml:space="preserve"> </w:t>
      </w:r>
    </w:p>
    <w:p w14:paraId="3B39F728">
      <w:pPr>
        <w:keepNext w:val="0"/>
        <w:keepLines w:val="0"/>
        <w:pageBreakBefore w:val="0"/>
        <w:widowControl w:val="0"/>
        <w:kinsoku/>
        <w:overflowPunct/>
        <w:topLinePunct w:val="0"/>
        <w:bidi w:val="0"/>
        <w:spacing w:line="360" w:lineRule="auto"/>
        <w:rPr>
          <w:rFonts w:hint="default" w:ascii="Times New Roman" w:hAnsi="Times New Roman" w:eastAsia="仿宋" w:cs="Times New Roman"/>
          <w:sz w:val="28"/>
          <w:szCs w:val="28"/>
        </w:rPr>
        <w:sectPr>
          <w:headerReference r:id="rId9" w:type="default"/>
          <w:footerReference r:id="rId10" w:type="default"/>
          <w:footerReference r:id="rId11" w:type="even"/>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ascii="Times New Roman" w:hAnsi="Times New Roman" w:eastAsia="仿宋" w:cs="Times New Roman"/>
          <w:sz w:val="28"/>
          <w:szCs w:val="28"/>
        </w:rPr>
        <w:br w:type="page"/>
      </w:r>
    </w:p>
    <w:p w14:paraId="7AD33CCE">
      <w:pPr>
        <w:pStyle w:val="3"/>
        <w:bidi w:val="0"/>
        <w:rPr>
          <w:rFonts w:hint="default"/>
          <w:lang w:val="en-US" w:eastAsia="zh-CN"/>
        </w:rPr>
      </w:pPr>
      <w:bookmarkStart w:id="144" w:name="_Toc15759"/>
      <w:bookmarkStart w:id="145" w:name="_Toc553"/>
      <w:r>
        <w:rPr>
          <w:rFonts w:hint="default"/>
          <w:lang w:val="en-US" w:eastAsia="zh-CN"/>
        </w:rPr>
        <w:t>附件</w:t>
      </w:r>
      <w:r>
        <w:rPr>
          <w:rFonts w:hint="eastAsia"/>
          <w:lang w:val="en-US" w:eastAsia="zh-CN"/>
        </w:rPr>
        <w:t>3</w:t>
      </w:r>
      <w:r>
        <w:rPr>
          <w:rFonts w:hint="default"/>
          <w:lang w:val="en-US" w:eastAsia="zh-CN"/>
        </w:rPr>
        <w:t>：培训、宣传与演练</w:t>
      </w:r>
      <w:bookmarkEnd w:id="144"/>
      <w:bookmarkEnd w:id="145"/>
    </w:p>
    <w:p w14:paraId="4B30A3C1">
      <w:pPr>
        <w:keepNext w:val="0"/>
        <w:keepLines w:val="0"/>
        <w:pageBreakBefore w:val="0"/>
        <w:widowControl w:val="0"/>
        <w:kinsoku/>
        <w:overflowPunct/>
        <w:topLinePunct w:val="0"/>
        <w:bidi w:val="0"/>
        <w:spacing w:after="3" w:line="360" w:lineRule="auto"/>
        <w:ind w:left="1685" w:right="1987"/>
        <w:jc w:val="center"/>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 xml:space="preserve">培训记录表（样表） </w:t>
      </w:r>
    </w:p>
    <w:tbl>
      <w:tblPr>
        <w:tblStyle w:val="26"/>
        <w:tblW w:w="8714" w:type="dxa"/>
        <w:jc w:val="center"/>
        <w:tblLayout w:type="autofit"/>
        <w:tblCellMar>
          <w:top w:w="49" w:type="dxa"/>
          <w:left w:w="108" w:type="dxa"/>
          <w:bottom w:w="0" w:type="dxa"/>
          <w:right w:w="115" w:type="dxa"/>
        </w:tblCellMar>
      </w:tblPr>
      <w:tblGrid>
        <w:gridCol w:w="1450"/>
        <w:gridCol w:w="1453"/>
        <w:gridCol w:w="1337"/>
        <w:gridCol w:w="115"/>
        <w:gridCol w:w="1452"/>
        <w:gridCol w:w="1453"/>
        <w:gridCol w:w="1454"/>
      </w:tblGrid>
      <w:tr w14:paraId="01A53B27">
        <w:tblPrEx>
          <w:tblCellMar>
            <w:top w:w="49" w:type="dxa"/>
            <w:left w:w="108" w:type="dxa"/>
            <w:bottom w:w="0" w:type="dxa"/>
            <w:right w:w="115" w:type="dxa"/>
          </w:tblCellMar>
        </w:tblPrEx>
        <w:trPr>
          <w:trHeight w:val="626" w:hRule="atLeast"/>
          <w:jc w:val="center"/>
        </w:trPr>
        <w:tc>
          <w:tcPr>
            <w:tcW w:w="2903" w:type="dxa"/>
            <w:gridSpan w:val="2"/>
            <w:tcBorders>
              <w:top w:val="single" w:color="000000" w:sz="4" w:space="0"/>
              <w:left w:val="single" w:color="000000" w:sz="4" w:space="0"/>
              <w:bottom w:val="single" w:color="000000" w:sz="4" w:space="0"/>
              <w:right w:val="nil"/>
            </w:tcBorders>
            <w:vAlign w:val="center"/>
          </w:tcPr>
          <w:p w14:paraId="4BE3DCE5">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培训目的：</w:t>
            </w:r>
          </w:p>
        </w:tc>
        <w:tc>
          <w:tcPr>
            <w:tcW w:w="1337" w:type="dxa"/>
            <w:tcBorders>
              <w:top w:val="single" w:color="000000" w:sz="4" w:space="0"/>
              <w:left w:val="nil"/>
              <w:bottom w:val="single" w:color="000000" w:sz="4" w:space="0"/>
              <w:right w:val="single" w:color="000000" w:sz="4" w:space="0"/>
            </w:tcBorders>
          </w:tcPr>
          <w:p w14:paraId="67743C0F">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3020" w:type="dxa"/>
            <w:gridSpan w:val="3"/>
            <w:tcBorders>
              <w:top w:val="single" w:color="000000" w:sz="4" w:space="0"/>
              <w:left w:val="single" w:color="000000" w:sz="4" w:space="0"/>
              <w:bottom w:val="single" w:color="000000" w:sz="4" w:space="0"/>
              <w:right w:val="nil"/>
            </w:tcBorders>
            <w:vAlign w:val="center"/>
          </w:tcPr>
          <w:p w14:paraId="32672D25">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培训日期：</w:t>
            </w:r>
          </w:p>
        </w:tc>
        <w:tc>
          <w:tcPr>
            <w:tcW w:w="1454" w:type="dxa"/>
            <w:tcBorders>
              <w:top w:val="single" w:color="000000" w:sz="4" w:space="0"/>
              <w:left w:val="nil"/>
              <w:bottom w:val="single" w:color="000000" w:sz="4" w:space="0"/>
              <w:right w:val="single" w:color="000000" w:sz="4" w:space="0"/>
            </w:tcBorders>
          </w:tcPr>
          <w:p w14:paraId="45DF330A">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r>
      <w:tr w14:paraId="122CD816">
        <w:tblPrEx>
          <w:tblCellMar>
            <w:top w:w="49" w:type="dxa"/>
            <w:left w:w="108" w:type="dxa"/>
            <w:bottom w:w="0" w:type="dxa"/>
            <w:right w:w="115" w:type="dxa"/>
          </w:tblCellMar>
        </w:tblPrEx>
        <w:trPr>
          <w:trHeight w:val="626" w:hRule="atLeast"/>
          <w:jc w:val="center"/>
        </w:trPr>
        <w:tc>
          <w:tcPr>
            <w:tcW w:w="2903" w:type="dxa"/>
            <w:gridSpan w:val="2"/>
            <w:tcBorders>
              <w:top w:val="single" w:color="000000" w:sz="4" w:space="0"/>
              <w:left w:val="single" w:color="000000" w:sz="4" w:space="0"/>
              <w:bottom w:val="single" w:color="000000" w:sz="4" w:space="0"/>
              <w:right w:val="nil"/>
            </w:tcBorders>
            <w:vAlign w:val="center"/>
          </w:tcPr>
          <w:p w14:paraId="673E157A">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培训教师：</w:t>
            </w:r>
          </w:p>
        </w:tc>
        <w:tc>
          <w:tcPr>
            <w:tcW w:w="1337" w:type="dxa"/>
            <w:tcBorders>
              <w:top w:val="single" w:color="000000" w:sz="4" w:space="0"/>
              <w:left w:val="nil"/>
              <w:bottom w:val="single" w:color="000000" w:sz="4" w:space="0"/>
              <w:right w:val="single" w:color="000000" w:sz="4" w:space="0"/>
            </w:tcBorders>
          </w:tcPr>
          <w:p w14:paraId="547898F0">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3020" w:type="dxa"/>
            <w:gridSpan w:val="3"/>
            <w:tcBorders>
              <w:top w:val="single" w:color="000000" w:sz="4" w:space="0"/>
              <w:left w:val="single" w:color="000000" w:sz="4" w:space="0"/>
              <w:bottom w:val="single" w:color="000000" w:sz="4" w:space="0"/>
              <w:right w:val="nil"/>
            </w:tcBorders>
            <w:vAlign w:val="center"/>
          </w:tcPr>
          <w:p w14:paraId="4377C7DE">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培训地点：</w:t>
            </w:r>
          </w:p>
        </w:tc>
        <w:tc>
          <w:tcPr>
            <w:tcW w:w="1454" w:type="dxa"/>
            <w:tcBorders>
              <w:top w:val="single" w:color="000000" w:sz="4" w:space="0"/>
              <w:left w:val="nil"/>
              <w:bottom w:val="single" w:color="000000" w:sz="4" w:space="0"/>
              <w:right w:val="single" w:color="000000" w:sz="4" w:space="0"/>
            </w:tcBorders>
          </w:tcPr>
          <w:p w14:paraId="6B21990A">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r>
      <w:tr w14:paraId="085C40FC">
        <w:tblPrEx>
          <w:tblCellMar>
            <w:top w:w="49" w:type="dxa"/>
            <w:left w:w="108" w:type="dxa"/>
            <w:bottom w:w="0" w:type="dxa"/>
            <w:right w:w="115" w:type="dxa"/>
          </w:tblCellMar>
        </w:tblPrEx>
        <w:trPr>
          <w:trHeight w:val="626" w:hRule="atLeast"/>
          <w:jc w:val="center"/>
        </w:trPr>
        <w:tc>
          <w:tcPr>
            <w:tcW w:w="2903" w:type="dxa"/>
            <w:gridSpan w:val="2"/>
            <w:tcBorders>
              <w:top w:val="single" w:color="000000" w:sz="4" w:space="0"/>
              <w:left w:val="single" w:color="000000" w:sz="4" w:space="0"/>
              <w:bottom w:val="single" w:color="000000" w:sz="4" w:space="0"/>
              <w:right w:val="nil"/>
            </w:tcBorders>
            <w:vAlign w:val="center"/>
          </w:tcPr>
          <w:p w14:paraId="36BDBAD0">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组织部门：</w:t>
            </w:r>
          </w:p>
        </w:tc>
        <w:tc>
          <w:tcPr>
            <w:tcW w:w="1337" w:type="dxa"/>
            <w:tcBorders>
              <w:top w:val="single" w:color="000000" w:sz="4" w:space="0"/>
              <w:left w:val="nil"/>
              <w:bottom w:val="single" w:color="000000" w:sz="4" w:space="0"/>
              <w:right w:val="single" w:color="000000" w:sz="4" w:space="0"/>
            </w:tcBorders>
          </w:tcPr>
          <w:p w14:paraId="436F2F71">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3020" w:type="dxa"/>
            <w:gridSpan w:val="3"/>
            <w:tcBorders>
              <w:top w:val="single" w:color="000000" w:sz="4" w:space="0"/>
              <w:left w:val="single" w:color="000000" w:sz="4" w:space="0"/>
              <w:bottom w:val="single" w:color="000000" w:sz="4" w:space="0"/>
              <w:right w:val="nil"/>
            </w:tcBorders>
            <w:vAlign w:val="center"/>
          </w:tcPr>
          <w:p w14:paraId="34232B9F">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负责人：</w:t>
            </w:r>
          </w:p>
        </w:tc>
        <w:tc>
          <w:tcPr>
            <w:tcW w:w="1454" w:type="dxa"/>
            <w:tcBorders>
              <w:top w:val="single" w:color="000000" w:sz="4" w:space="0"/>
              <w:left w:val="nil"/>
              <w:bottom w:val="single" w:color="000000" w:sz="4" w:space="0"/>
              <w:right w:val="single" w:color="000000" w:sz="4" w:space="0"/>
            </w:tcBorders>
          </w:tcPr>
          <w:p w14:paraId="24171154">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r>
      <w:tr w14:paraId="7C3A3F75">
        <w:tblPrEx>
          <w:tblCellMar>
            <w:top w:w="49" w:type="dxa"/>
            <w:left w:w="108" w:type="dxa"/>
            <w:bottom w:w="0" w:type="dxa"/>
            <w:right w:w="115" w:type="dxa"/>
          </w:tblCellMar>
        </w:tblPrEx>
        <w:trPr>
          <w:trHeight w:val="925" w:hRule="atLeast"/>
          <w:jc w:val="center"/>
        </w:trPr>
        <w:tc>
          <w:tcPr>
            <w:tcW w:w="2903" w:type="dxa"/>
            <w:gridSpan w:val="2"/>
            <w:tcBorders>
              <w:top w:val="single" w:color="000000" w:sz="4" w:space="0"/>
              <w:left w:val="single" w:color="000000" w:sz="4" w:space="0"/>
              <w:bottom w:val="single" w:color="000000" w:sz="4" w:space="0"/>
              <w:right w:val="nil"/>
            </w:tcBorders>
          </w:tcPr>
          <w:p w14:paraId="2D10561F">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培训摘要：</w:t>
            </w:r>
          </w:p>
        </w:tc>
        <w:tc>
          <w:tcPr>
            <w:tcW w:w="4357" w:type="dxa"/>
            <w:gridSpan w:val="4"/>
            <w:tcBorders>
              <w:top w:val="single" w:color="000000" w:sz="4" w:space="0"/>
              <w:left w:val="nil"/>
              <w:bottom w:val="single" w:color="000000" w:sz="4" w:space="0"/>
              <w:right w:val="nil"/>
            </w:tcBorders>
          </w:tcPr>
          <w:p w14:paraId="0470AAF4">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4" w:type="dxa"/>
            <w:tcBorders>
              <w:top w:val="single" w:color="000000" w:sz="4" w:space="0"/>
              <w:left w:val="nil"/>
              <w:bottom w:val="single" w:color="000000" w:sz="4" w:space="0"/>
              <w:right w:val="single" w:color="000000" w:sz="4" w:space="0"/>
            </w:tcBorders>
          </w:tcPr>
          <w:p w14:paraId="3E852F78">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r>
      <w:tr w14:paraId="0E291FE8">
        <w:tblPrEx>
          <w:tblCellMar>
            <w:top w:w="49" w:type="dxa"/>
            <w:left w:w="108" w:type="dxa"/>
            <w:bottom w:w="0" w:type="dxa"/>
            <w:right w:w="115" w:type="dxa"/>
          </w:tblCellMar>
        </w:tblPrEx>
        <w:trPr>
          <w:trHeight w:val="626" w:hRule="atLeast"/>
          <w:jc w:val="center"/>
        </w:trPr>
        <w:tc>
          <w:tcPr>
            <w:tcW w:w="2903" w:type="dxa"/>
            <w:gridSpan w:val="2"/>
            <w:tcBorders>
              <w:top w:val="single" w:color="000000" w:sz="4" w:space="0"/>
              <w:left w:val="single" w:color="000000" w:sz="4" w:space="0"/>
              <w:bottom w:val="single" w:color="000000" w:sz="4" w:space="0"/>
              <w:right w:val="nil"/>
            </w:tcBorders>
          </w:tcPr>
          <w:p w14:paraId="07E966E0">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ab/>
            </w:r>
          </w:p>
        </w:tc>
        <w:tc>
          <w:tcPr>
            <w:tcW w:w="4357" w:type="dxa"/>
            <w:gridSpan w:val="4"/>
            <w:tcBorders>
              <w:top w:val="single" w:color="000000" w:sz="4" w:space="0"/>
              <w:left w:val="nil"/>
              <w:bottom w:val="single" w:color="000000" w:sz="4" w:space="0"/>
              <w:right w:val="nil"/>
            </w:tcBorders>
            <w:vAlign w:val="center"/>
          </w:tcPr>
          <w:p w14:paraId="026B5552">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培训参加人员签到记录</w:t>
            </w:r>
          </w:p>
        </w:tc>
        <w:tc>
          <w:tcPr>
            <w:tcW w:w="1454" w:type="dxa"/>
            <w:tcBorders>
              <w:top w:val="single" w:color="000000" w:sz="4" w:space="0"/>
              <w:left w:val="nil"/>
              <w:bottom w:val="single" w:color="000000" w:sz="4" w:space="0"/>
              <w:right w:val="single" w:color="000000" w:sz="4" w:space="0"/>
            </w:tcBorders>
          </w:tcPr>
          <w:p w14:paraId="10268403">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r>
      <w:tr w14:paraId="106F6D82">
        <w:tblPrEx>
          <w:tblCellMar>
            <w:top w:w="49" w:type="dxa"/>
            <w:left w:w="108" w:type="dxa"/>
            <w:bottom w:w="0" w:type="dxa"/>
            <w:right w:w="115" w:type="dxa"/>
          </w:tblCellMar>
        </w:tblPrEx>
        <w:trPr>
          <w:trHeight w:val="722" w:hRule="atLeast"/>
          <w:jc w:val="center"/>
        </w:trPr>
        <w:tc>
          <w:tcPr>
            <w:tcW w:w="1450" w:type="dxa"/>
            <w:tcBorders>
              <w:top w:val="single" w:color="000000" w:sz="4" w:space="0"/>
              <w:left w:val="single" w:color="000000" w:sz="4" w:space="0"/>
              <w:bottom w:val="single" w:color="000000" w:sz="4" w:space="0"/>
              <w:right w:val="single" w:color="000000" w:sz="4" w:space="0"/>
            </w:tcBorders>
            <w:vAlign w:val="center"/>
          </w:tcPr>
          <w:p w14:paraId="4CB4EAE1">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jc w:val="center"/>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序号</w:t>
            </w:r>
          </w:p>
        </w:tc>
        <w:tc>
          <w:tcPr>
            <w:tcW w:w="1453" w:type="dxa"/>
            <w:tcBorders>
              <w:top w:val="single" w:color="000000" w:sz="4" w:space="0"/>
              <w:left w:val="single" w:color="000000" w:sz="4" w:space="0"/>
              <w:bottom w:val="single" w:color="000000" w:sz="4" w:space="0"/>
              <w:right w:val="single" w:color="000000" w:sz="4" w:space="0"/>
            </w:tcBorders>
            <w:vAlign w:val="center"/>
          </w:tcPr>
          <w:p w14:paraId="333F454C">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jc w:val="center"/>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姓名</w:t>
            </w:r>
          </w:p>
        </w:tc>
        <w:tc>
          <w:tcPr>
            <w:tcW w:w="1452" w:type="dxa"/>
            <w:gridSpan w:val="2"/>
            <w:tcBorders>
              <w:top w:val="single" w:color="000000" w:sz="4" w:space="0"/>
              <w:left w:val="single" w:color="000000" w:sz="4" w:space="0"/>
              <w:bottom w:val="single" w:color="000000" w:sz="4" w:space="0"/>
              <w:right w:val="single" w:color="000000" w:sz="4" w:space="0"/>
            </w:tcBorders>
            <w:vAlign w:val="center"/>
          </w:tcPr>
          <w:p w14:paraId="0718E33E">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jc w:val="center"/>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部门/队组</w:t>
            </w:r>
          </w:p>
        </w:tc>
        <w:tc>
          <w:tcPr>
            <w:tcW w:w="1452" w:type="dxa"/>
            <w:tcBorders>
              <w:top w:val="single" w:color="000000" w:sz="4" w:space="0"/>
              <w:left w:val="single" w:color="000000" w:sz="4" w:space="0"/>
              <w:bottom w:val="single" w:color="000000" w:sz="4" w:space="0"/>
              <w:right w:val="single" w:color="000000" w:sz="4" w:space="0"/>
            </w:tcBorders>
            <w:vAlign w:val="center"/>
          </w:tcPr>
          <w:p w14:paraId="4A63DF87">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jc w:val="center"/>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岗位</w:t>
            </w:r>
          </w:p>
        </w:tc>
        <w:tc>
          <w:tcPr>
            <w:tcW w:w="1453" w:type="dxa"/>
            <w:tcBorders>
              <w:top w:val="single" w:color="000000" w:sz="4" w:space="0"/>
              <w:left w:val="single" w:color="000000" w:sz="4" w:space="0"/>
              <w:bottom w:val="single" w:color="000000" w:sz="4" w:space="0"/>
              <w:right w:val="single" w:color="000000" w:sz="4" w:space="0"/>
            </w:tcBorders>
          </w:tcPr>
          <w:p w14:paraId="75D6DA9C">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jc w:val="center"/>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上次培训时间</w:t>
            </w:r>
          </w:p>
        </w:tc>
        <w:tc>
          <w:tcPr>
            <w:tcW w:w="1454" w:type="dxa"/>
            <w:tcBorders>
              <w:top w:val="single" w:color="000000" w:sz="4" w:space="0"/>
              <w:left w:val="single" w:color="000000" w:sz="4" w:space="0"/>
              <w:bottom w:val="single" w:color="000000" w:sz="4" w:space="0"/>
              <w:right w:val="single" w:color="000000" w:sz="4" w:space="0"/>
            </w:tcBorders>
            <w:vAlign w:val="center"/>
          </w:tcPr>
          <w:p w14:paraId="2E225986">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jc w:val="center"/>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rPr>
              <w:t>备注</w:t>
            </w:r>
          </w:p>
        </w:tc>
      </w:tr>
      <w:tr w14:paraId="2F02A473">
        <w:tblPrEx>
          <w:tblCellMar>
            <w:top w:w="49" w:type="dxa"/>
            <w:left w:w="108" w:type="dxa"/>
            <w:bottom w:w="0" w:type="dxa"/>
            <w:right w:w="115" w:type="dxa"/>
          </w:tblCellMar>
        </w:tblPrEx>
        <w:trPr>
          <w:trHeight w:val="680" w:hRule="atLeast"/>
          <w:jc w:val="center"/>
        </w:trPr>
        <w:tc>
          <w:tcPr>
            <w:tcW w:w="1450" w:type="dxa"/>
            <w:tcBorders>
              <w:top w:val="single" w:color="000000" w:sz="4" w:space="0"/>
              <w:left w:val="single" w:color="000000" w:sz="4" w:space="0"/>
              <w:bottom w:val="single" w:color="000000" w:sz="4" w:space="0"/>
              <w:right w:val="single" w:color="000000" w:sz="4" w:space="0"/>
            </w:tcBorders>
          </w:tcPr>
          <w:p w14:paraId="6F5389A2">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3" w:type="dxa"/>
            <w:tcBorders>
              <w:top w:val="single" w:color="000000" w:sz="4" w:space="0"/>
              <w:left w:val="single" w:color="000000" w:sz="4" w:space="0"/>
              <w:bottom w:val="single" w:color="000000" w:sz="4" w:space="0"/>
              <w:right w:val="single" w:color="000000" w:sz="4" w:space="0"/>
            </w:tcBorders>
          </w:tcPr>
          <w:p w14:paraId="51A8FE76">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2" w:type="dxa"/>
            <w:gridSpan w:val="2"/>
            <w:tcBorders>
              <w:top w:val="single" w:color="000000" w:sz="4" w:space="0"/>
              <w:left w:val="single" w:color="000000" w:sz="4" w:space="0"/>
              <w:bottom w:val="single" w:color="000000" w:sz="4" w:space="0"/>
              <w:right w:val="single" w:color="000000" w:sz="4" w:space="0"/>
            </w:tcBorders>
          </w:tcPr>
          <w:p w14:paraId="3D5A035A">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2" w:type="dxa"/>
            <w:tcBorders>
              <w:top w:val="single" w:color="000000" w:sz="4" w:space="0"/>
              <w:left w:val="single" w:color="000000" w:sz="4" w:space="0"/>
              <w:bottom w:val="single" w:color="000000" w:sz="4" w:space="0"/>
              <w:right w:val="single" w:color="000000" w:sz="4" w:space="0"/>
            </w:tcBorders>
          </w:tcPr>
          <w:p w14:paraId="57DBF0B9">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3" w:type="dxa"/>
            <w:tcBorders>
              <w:top w:val="single" w:color="000000" w:sz="4" w:space="0"/>
              <w:left w:val="single" w:color="000000" w:sz="4" w:space="0"/>
              <w:bottom w:val="single" w:color="000000" w:sz="4" w:space="0"/>
              <w:right w:val="single" w:color="000000" w:sz="4" w:space="0"/>
            </w:tcBorders>
          </w:tcPr>
          <w:p w14:paraId="53DA32E9">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4" w:type="dxa"/>
            <w:tcBorders>
              <w:top w:val="single" w:color="000000" w:sz="4" w:space="0"/>
              <w:left w:val="single" w:color="000000" w:sz="4" w:space="0"/>
              <w:bottom w:val="single" w:color="000000" w:sz="4" w:space="0"/>
              <w:right w:val="single" w:color="000000" w:sz="4" w:space="0"/>
            </w:tcBorders>
          </w:tcPr>
          <w:p w14:paraId="7AE3F4A6">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r>
      <w:tr w14:paraId="1D2A7951">
        <w:tblPrEx>
          <w:tblCellMar>
            <w:top w:w="49" w:type="dxa"/>
            <w:left w:w="108" w:type="dxa"/>
            <w:bottom w:w="0" w:type="dxa"/>
            <w:right w:w="115" w:type="dxa"/>
          </w:tblCellMar>
        </w:tblPrEx>
        <w:trPr>
          <w:trHeight w:val="680" w:hRule="atLeast"/>
          <w:jc w:val="center"/>
        </w:trPr>
        <w:tc>
          <w:tcPr>
            <w:tcW w:w="1450" w:type="dxa"/>
            <w:tcBorders>
              <w:top w:val="single" w:color="000000" w:sz="4" w:space="0"/>
              <w:left w:val="single" w:color="000000" w:sz="4" w:space="0"/>
              <w:bottom w:val="single" w:color="000000" w:sz="4" w:space="0"/>
              <w:right w:val="single" w:color="000000" w:sz="4" w:space="0"/>
            </w:tcBorders>
          </w:tcPr>
          <w:p w14:paraId="6B0FDF78">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3" w:type="dxa"/>
            <w:tcBorders>
              <w:top w:val="single" w:color="000000" w:sz="4" w:space="0"/>
              <w:left w:val="single" w:color="000000" w:sz="4" w:space="0"/>
              <w:bottom w:val="single" w:color="000000" w:sz="4" w:space="0"/>
              <w:right w:val="single" w:color="000000" w:sz="4" w:space="0"/>
            </w:tcBorders>
          </w:tcPr>
          <w:p w14:paraId="04D061F3">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2" w:type="dxa"/>
            <w:gridSpan w:val="2"/>
            <w:tcBorders>
              <w:top w:val="single" w:color="000000" w:sz="4" w:space="0"/>
              <w:left w:val="single" w:color="000000" w:sz="4" w:space="0"/>
              <w:bottom w:val="single" w:color="000000" w:sz="4" w:space="0"/>
              <w:right w:val="single" w:color="000000" w:sz="4" w:space="0"/>
            </w:tcBorders>
          </w:tcPr>
          <w:p w14:paraId="6AB23196">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2" w:type="dxa"/>
            <w:tcBorders>
              <w:top w:val="single" w:color="000000" w:sz="4" w:space="0"/>
              <w:left w:val="single" w:color="000000" w:sz="4" w:space="0"/>
              <w:bottom w:val="single" w:color="000000" w:sz="4" w:space="0"/>
              <w:right w:val="single" w:color="000000" w:sz="4" w:space="0"/>
            </w:tcBorders>
          </w:tcPr>
          <w:p w14:paraId="75B4071B">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3" w:type="dxa"/>
            <w:tcBorders>
              <w:top w:val="single" w:color="000000" w:sz="4" w:space="0"/>
              <w:left w:val="single" w:color="000000" w:sz="4" w:space="0"/>
              <w:bottom w:val="single" w:color="000000" w:sz="4" w:space="0"/>
              <w:right w:val="single" w:color="000000" w:sz="4" w:space="0"/>
            </w:tcBorders>
          </w:tcPr>
          <w:p w14:paraId="435D6EC8">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4" w:type="dxa"/>
            <w:tcBorders>
              <w:top w:val="single" w:color="000000" w:sz="4" w:space="0"/>
              <w:left w:val="single" w:color="000000" w:sz="4" w:space="0"/>
              <w:bottom w:val="single" w:color="000000" w:sz="4" w:space="0"/>
              <w:right w:val="single" w:color="000000" w:sz="4" w:space="0"/>
            </w:tcBorders>
          </w:tcPr>
          <w:p w14:paraId="797C336F">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r>
      <w:tr w14:paraId="20722326">
        <w:tblPrEx>
          <w:tblCellMar>
            <w:top w:w="49" w:type="dxa"/>
            <w:left w:w="108" w:type="dxa"/>
            <w:bottom w:w="0" w:type="dxa"/>
            <w:right w:w="115" w:type="dxa"/>
          </w:tblCellMar>
        </w:tblPrEx>
        <w:trPr>
          <w:trHeight w:val="680" w:hRule="atLeast"/>
          <w:jc w:val="center"/>
        </w:trPr>
        <w:tc>
          <w:tcPr>
            <w:tcW w:w="1450" w:type="dxa"/>
            <w:tcBorders>
              <w:top w:val="single" w:color="000000" w:sz="4" w:space="0"/>
              <w:left w:val="single" w:color="000000" w:sz="4" w:space="0"/>
              <w:bottom w:val="single" w:color="000000" w:sz="4" w:space="0"/>
              <w:right w:val="single" w:color="000000" w:sz="4" w:space="0"/>
            </w:tcBorders>
          </w:tcPr>
          <w:p w14:paraId="76D5E356">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3" w:type="dxa"/>
            <w:tcBorders>
              <w:top w:val="single" w:color="000000" w:sz="4" w:space="0"/>
              <w:left w:val="single" w:color="000000" w:sz="4" w:space="0"/>
              <w:bottom w:val="single" w:color="000000" w:sz="4" w:space="0"/>
              <w:right w:val="single" w:color="000000" w:sz="4" w:space="0"/>
            </w:tcBorders>
          </w:tcPr>
          <w:p w14:paraId="3DC7DC2C">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2" w:type="dxa"/>
            <w:gridSpan w:val="2"/>
            <w:tcBorders>
              <w:top w:val="single" w:color="000000" w:sz="4" w:space="0"/>
              <w:left w:val="single" w:color="000000" w:sz="4" w:space="0"/>
              <w:bottom w:val="single" w:color="000000" w:sz="4" w:space="0"/>
              <w:right w:val="single" w:color="000000" w:sz="4" w:space="0"/>
            </w:tcBorders>
          </w:tcPr>
          <w:p w14:paraId="4C52B0B6">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2" w:type="dxa"/>
            <w:tcBorders>
              <w:top w:val="single" w:color="000000" w:sz="4" w:space="0"/>
              <w:left w:val="single" w:color="000000" w:sz="4" w:space="0"/>
              <w:bottom w:val="single" w:color="000000" w:sz="4" w:space="0"/>
              <w:right w:val="single" w:color="000000" w:sz="4" w:space="0"/>
            </w:tcBorders>
          </w:tcPr>
          <w:p w14:paraId="43100758">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3" w:type="dxa"/>
            <w:tcBorders>
              <w:top w:val="single" w:color="000000" w:sz="4" w:space="0"/>
              <w:left w:val="single" w:color="000000" w:sz="4" w:space="0"/>
              <w:bottom w:val="single" w:color="000000" w:sz="4" w:space="0"/>
              <w:right w:val="single" w:color="000000" w:sz="4" w:space="0"/>
            </w:tcBorders>
          </w:tcPr>
          <w:p w14:paraId="6EE1998B">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c>
          <w:tcPr>
            <w:tcW w:w="1454" w:type="dxa"/>
            <w:tcBorders>
              <w:top w:val="single" w:color="000000" w:sz="4" w:space="0"/>
              <w:left w:val="single" w:color="000000" w:sz="4" w:space="0"/>
              <w:bottom w:val="single" w:color="000000" w:sz="4" w:space="0"/>
              <w:right w:val="single" w:color="000000" w:sz="4" w:space="0"/>
            </w:tcBorders>
          </w:tcPr>
          <w:p w14:paraId="42F23F40">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lang w:eastAsia="zh-CN"/>
              </w:rPr>
            </w:pPr>
          </w:p>
        </w:tc>
      </w:tr>
      <w:tr w14:paraId="59C28A2B">
        <w:tblPrEx>
          <w:tblCellMar>
            <w:top w:w="49" w:type="dxa"/>
            <w:left w:w="108" w:type="dxa"/>
            <w:bottom w:w="0" w:type="dxa"/>
            <w:right w:w="115" w:type="dxa"/>
          </w:tblCellMar>
        </w:tblPrEx>
        <w:trPr>
          <w:trHeight w:val="680" w:hRule="atLeast"/>
          <w:jc w:val="center"/>
        </w:trPr>
        <w:tc>
          <w:tcPr>
            <w:tcW w:w="1450" w:type="dxa"/>
            <w:tcBorders>
              <w:top w:val="single" w:color="000000" w:sz="4" w:space="0"/>
              <w:left w:val="single" w:color="000000" w:sz="4" w:space="0"/>
              <w:bottom w:val="single" w:color="000000" w:sz="4" w:space="0"/>
              <w:right w:val="single" w:color="000000" w:sz="4" w:space="0"/>
            </w:tcBorders>
          </w:tcPr>
          <w:p w14:paraId="73030CE2">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c>
          <w:tcPr>
            <w:tcW w:w="1453" w:type="dxa"/>
            <w:tcBorders>
              <w:top w:val="single" w:color="000000" w:sz="4" w:space="0"/>
              <w:left w:val="single" w:color="000000" w:sz="4" w:space="0"/>
              <w:bottom w:val="single" w:color="000000" w:sz="4" w:space="0"/>
              <w:right w:val="single" w:color="000000" w:sz="4" w:space="0"/>
            </w:tcBorders>
          </w:tcPr>
          <w:p w14:paraId="7F0A470D">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c>
          <w:tcPr>
            <w:tcW w:w="1452" w:type="dxa"/>
            <w:gridSpan w:val="2"/>
            <w:tcBorders>
              <w:top w:val="single" w:color="000000" w:sz="4" w:space="0"/>
              <w:left w:val="single" w:color="000000" w:sz="4" w:space="0"/>
              <w:bottom w:val="single" w:color="000000" w:sz="4" w:space="0"/>
              <w:right w:val="single" w:color="000000" w:sz="4" w:space="0"/>
            </w:tcBorders>
          </w:tcPr>
          <w:p w14:paraId="474E056E">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c>
          <w:tcPr>
            <w:tcW w:w="1452" w:type="dxa"/>
            <w:tcBorders>
              <w:top w:val="single" w:color="000000" w:sz="4" w:space="0"/>
              <w:left w:val="single" w:color="000000" w:sz="4" w:space="0"/>
              <w:bottom w:val="single" w:color="000000" w:sz="4" w:space="0"/>
              <w:right w:val="single" w:color="000000" w:sz="4" w:space="0"/>
            </w:tcBorders>
          </w:tcPr>
          <w:p w14:paraId="59673997">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c>
          <w:tcPr>
            <w:tcW w:w="1453" w:type="dxa"/>
            <w:tcBorders>
              <w:top w:val="single" w:color="000000" w:sz="4" w:space="0"/>
              <w:left w:val="single" w:color="000000" w:sz="4" w:space="0"/>
              <w:bottom w:val="single" w:color="000000" w:sz="4" w:space="0"/>
              <w:right w:val="single" w:color="000000" w:sz="4" w:space="0"/>
            </w:tcBorders>
          </w:tcPr>
          <w:p w14:paraId="4C5FA438">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c>
          <w:tcPr>
            <w:tcW w:w="1454" w:type="dxa"/>
            <w:tcBorders>
              <w:top w:val="single" w:color="000000" w:sz="4" w:space="0"/>
              <w:left w:val="single" w:color="000000" w:sz="4" w:space="0"/>
              <w:bottom w:val="single" w:color="000000" w:sz="4" w:space="0"/>
              <w:right w:val="single" w:color="000000" w:sz="4" w:space="0"/>
            </w:tcBorders>
          </w:tcPr>
          <w:p w14:paraId="57BB5BA1">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r>
      <w:tr w14:paraId="0205F27A">
        <w:tblPrEx>
          <w:tblCellMar>
            <w:top w:w="49" w:type="dxa"/>
            <w:left w:w="108" w:type="dxa"/>
            <w:bottom w:w="0" w:type="dxa"/>
            <w:right w:w="115" w:type="dxa"/>
          </w:tblCellMar>
        </w:tblPrEx>
        <w:trPr>
          <w:trHeight w:val="680" w:hRule="atLeast"/>
          <w:jc w:val="center"/>
        </w:trPr>
        <w:tc>
          <w:tcPr>
            <w:tcW w:w="1450" w:type="dxa"/>
            <w:tcBorders>
              <w:top w:val="single" w:color="000000" w:sz="4" w:space="0"/>
              <w:left w:val="single" w:color="000000" w:sz="4" w:space="0"/>
              <w:bottom w:val="single" w:color="000000" w:sz="4" w:space="0"/>
              <w:right w:val="single" w:color="000000" w:sz="4" w:space="0"/>
            </w:tcBorders>
          </w:tcPr>
          <w:p w14:paraId="240CD616">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c>
          <w:tcPr>
            <w:tcW w:w="1453" w:type="dxa"/>
            <w:tcBorders>
              <w:top w:val="single" w:color="000000" w:sz="4" w:space="0"/>
              <w:left w:val="single" w:color="000000" w:sz="4" w:space="0"/>
              <w:bottom w:val="single" w:color="000000" w:sz="4" w:space="0"/>
              <w:right w:val="single" w:color="000000" w:sz="4" w:space="0"/>
            </w:tcBorders>
          </w:tcPr>
          <w:p w14:paraId="0E933990">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c>
          <w:tcPr>
            <w:tcW w:w="1452" w:type="dxa"/>
            <w:gridSpan w:val="2"/>
            <w:tcBorders>
              <w:top w:val="single" w:color="000000" w:sz="4" w:space="0"/>
              <w:left w:val="single" w:color="000000" w:sz="4" w:space="0"/>
              <w:bottom w:val="single" w:color="000000" w:sz="4" w:space="0"/>
              <w:right w:val="single" w:color="000000" w:sz="4" w:space="0"/>
            </w:tcBorders>
          </w:tcPr>
          <w:p w14:paraId="121878AB">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c>
          <w:tcPr>
            <w:tcW w:w="1452" w:type="dxa"/>
            <w:tcBorders>
              <w:top w:val="single" w:color="000000" w:sz="4" w:space="0"/>
              <w:left w:val="single" w:color="000000" w:sz="4" w:space="0"/>
              <w:bottom w:val="single" w:color="000000" w:sz="4" w:space="0"/>
              <w:right w:val="single" w:color="000000" w:sz="4" w:space="0"/>
            </w:tcBorders>
          </w:tcPr>
          <w:p w14:paraId="401F4E24">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c>
          <w:tcPr>
            <w:tcW w:w="1453" w:type="dxa"/>
            <w:tcBorders>
              <w:top w:val="single" w:color="000000" w:sz="4" w:space="0"/>
              <w:left w:val="single" w:color="000000" w:sz="4" w:space="0"/>
              <w:bottom w:val="single" w:color="000000" w:sz="4" w:space="0"/>
              <w:right w:val="single" w:color="000000" w:sz="4" w:space="0"/>
            </w:tcBorders>
          </w:tcPr>
          <w:p w14:paraId="62FBE13E">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c>
          <w:tcPr>
            <w:tcW w:w="1454" w:type="dxa"/>
            <w:tcBorders>
              <w:top w:val="single" w:color="000000" w:sz="4" w:space="0"/>
              <w:left w:val="single" w:color="000000" w:sz="4" w:space="0"/>
              <w:bottom w:val="single" w:color="000000" w:sz="4" w:space="0"/>
              <w:right w:val="single" w:color="000000" w:sz="4" w:space="0"/>
            </w:tcBorders>
          </w:tcPr>
          <w:p w14:paraId="237DBD3A">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p>
        </w:tc>
      </w:tr>
    </w:tbl>
    <w:p w14:paraId="34BE9FB4">
      <w:pPr>
        <w:bidi w:val="0"/>
        <w:rPr>
          <w:rFonts w:hint="default"/>
        </w:rPr>
      </w:pPr>
      <w:bookmarkStart w:id="146" w:name="_Toc8678"/>
      <w:bookmarkStart w:id="147" w:name="_Toc4073"/>
    </w:p>
    <w:p w14:paraId="61706DEA">
      <w:pPr>
        <w:bidi w:val="0"/>
        <w:rPr>
          <w:rFonts w:hint="default"/>
        </w:rPr>
      </w:pPr>
    </w:p>
    <w:p w14:paraId="039CF70E">
      <w:pPr>
        <w:bidi w:val="0"/>
        <w:rPr>
          <w:rFonts w:hint="default"/>
        </w:rPr>
      </w:pPr>
    </w:p>
    <w:p w14:paraId="4EC8C56A">
      <w:pPr>
        <w:bidi w:val="0"/>
        <w:rPr>
          <w:rFonts w:hint="default"/>
        </w:rPr>
      </w:pPr>
    </w:p>
    <w:p w14:paraId="6A48C9C1">
      <w:pPr>
        <w:bidi w:val="0"/>
        <w:rPr>
          <w:rFonts w:hint="default"/>
        </w:rPr>
      </w:pPr>
    </w:p>
    <w:p w14:paraId="3ACD28B1">
      <w:pPr>
        <w:bidi w:val="0"/>
        <w:rPr>
          <w:rFonts w:hint="default"/>
        </w:rPr>
      </w:pPr>
    </w:p>
    <w:p w14:paraId="6F8BD106">
      <w:pPr>
        <w:bidi w:val="0"/>
        <w:rPr>
          <w:rFonts w:hint="default"/>
        </w:rPr>
      </w:pPr>
    </w:p>
    <w:p w14:paraId="61F86F5B">
      <w:pPr>
        <w:bidi w:val="0"/>
        <w:rPr>
          <w:rFonts w:hint="default"/>
        </w:rPr>
      </w:pPr>
    </w:p>
    <w:p w14:paraId="6123C743">
      <w:pPr>
        <w:bidi w:val="0"/>
        <w:rPr>
          <w:rFonts w:hint="default"/>
        </w:rPr>
      </w:pPr>
    </w:p>
    <w:p w14:paraId="56E90E1D">
      <w:pPr>
        <w:keepNext w:val="0"/>
        <w:keepLines w:val="0"/>
        <w:pageBreakBefore w:val="0"/>
        <w:widowControl w:val="0"/>
        <w:kinsoku/>
        <w:overflowPunct/>
        <w:topLinePunct w:val="0"/>
        <w:bidi w:val="0"/>
        <w:spacing w:after="3" w:line="360" w:lineRule="auto"/>
        <w:ind w:left="1685" w:right="1867"/>
        <w:jc w:val="center"/>
        <w:outlineLvl w:val="0"/>
        <w:rPr>
          <w:rFonts w:hint="default" w:ascii="Times New Roman" w:hAnsi="Times New Roman" w:eastAsia="仿宋" w:cs="Times New Roman"/>
          <w:b/>
          <w:bCs/>
          <w:sz w:val="28"/>
          <w:szCs w:val="28"/>
        </w:rPr>
        <w:sectPr>
          <w:footerReference r:id="rId15" w:type="first"/>
          <w:headerReference r:id="rId12" w:type="default"/>
          <w:footerReference r:id="rId13" w:type="default"/>
          <w:footerReference r:id="rId14" w:type="even"/>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4E7CB5E1">
      <w:pPr>
        <w:keepNext w:val="0"/>
        <w:keepLines w:val="0"/>
        <w:pageBreakBefore w:val="0"/>
        <w:widowControl w:val="0"/>
        <w:kinsoku/>
        <w:overflowPunct/>
        <w:topLinePunct w:val="0"/>
        <w:bidi w:val="0"/>
        <w:spacing w:after="3" w:line="360" w:lineRule="auto"/>
        <w:ind w:left="1685" w:right="1992"/>
        <w:jc w:val="center"/>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应急演练记录</w:t>
      </w:r>
      <w:bookmarkEnd w:id="146"/>
      <w:bookmarkEnd w:id="147"/>
    </w:p>
    <w:tbl>
      <w:tblPr>
        <w:tblStyle w:val="26"/>
        <w:tblW w:w="8721" w:type="dxa"/>
        <w:jc w:val="center"/>
        <w:tblLayout w:type="autofit"/>
        <w:tblCellMar>
          <w:top w:w="88" w:type="dxa"/>
          <w:left w:w="106" w:type="dxa"/>
          <w:bottom w:w="0" w:type="dxa"/>
          <w:right w:w="110" w:type="dxa"/>
        </w:tblCellMar>
      </w:tblPr>
      <w:tblGrid>
        <w:gridCol w:w="1656"/>
        <w:gridCol w:w="2905"/>
        <w:gridCol w:w="302"/>
        <w:gridCol w:w="1337"/>
        <w:gridCol w:w="2521"/>
      </w:tblGrid>
      <w:tr w14:paraId="04383F04">
        <w:tblPrEx>
          <w:tblCellMar>
            <w:top w:w="88" w:type="dxa"/>
            <w:left w:w="106" w:type="dxa"/>
            <w:bottom w:w="0" w:type="dxa"/>
            <w:right w:w="110" w:type="dxa"/>
          </w:tblCellMar>
        </w:tblPrEx>
        <w:trPr>
          <w:trHeight w:val="568" w:hRule="atLeast"/>
          <w:jc w:val="center"/>
        </w:trPr>
        <w:tc>
          <w:tcPr>
            <w:tcW w:w="4561" w:type="dxa"/>
            <w:gridSpan w:val="2"/>
            <w:tcBorders>
              <w:top w:val="single" w:color="000000" w:sz="4" w:space="0"/>
              <w:left w:val="single" w:color="000000" w:sz="4" w:space="0"/>
              <w:bottom w:val="single" w:color="000000" w:sz="4" w:space="0"/>
              <w:right w:val="nil"/>
            </w:tcBorders>
            <w:vAlign w:val="center"/>
          </w:tcPr>
          <w:p w14:paraId="03ECCEE5">
            <w:pPr>
              <w:keepNext w:val="0"/>
              <w:keepLines w:val="0"/>
              <w:pageBreakBefore w:val="0"/>
              <w:widowControl w:val="0"/>
              <w:tabs>
                <w:tab w:val="center" w:pos="1658"/>
              </w:tabs>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编号： </w:t>
            </w:r>
            <w:r>
              <w:rPr>
                <w:rFonts w:hint="default" w:ascii="Times New Roman" w:hAnsi="Times New Roman" w:eastAsia="仿宋" w:cs="Times New Roman"/>
                <w:sz w:val="28"/>
                <w:szCs w:val="28"/>
              </w:rPr>
              <w:tab/>
            </w:r>
            <w:r>
              <w:rPr>
                <w:rFonts w:hint="default" w:ascii="Times New Roman" w:hAnsi="Times New Roman" w:eastAsia="仿宋" w:cs="Times New Roman"/>
                <w:sz w:val="28"/>
                <w:szCs w:val="28"/>
              </w:rPr>
              <w:t xml:space="preserve"> </w:t>
            </w:r>
          </w:p>
        </w:tc>
        <w:tc>
          <w:tcPr>
            <w:tcW w:w="4160" w:type="dxa"/>
            <w:gridSpan w:val="3"/>
            <w:tcBorders>
              <w:top w:val="single" w:color="000000" w:sz="4" w:space="0"/>
              <w:left w:val="nil"/>
              <w:bottom w:val="single" w:color="000000" w:sz="4" w:space="0"/>
              <w:right w:val="single" w:color="000000" w:sz="4" w:space="0"/>
            </w:tcBorders>
          </w:tcPr>
          <w:p w14:paraId="2D7D995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 w:cs="Times New Roman"/>
                <w:sz w:val="28"/>
                <w:szCs w:val="28"/>
              </w:rPr>
            </w:pPr>
          </w:p>
        </w:tc>
      </w:tr>
      <w:tr w14:paraId="01190781">
        <w:tblPrEx>
          <w:tblCellMar>
            <w:top w:w="88" w:type="dxa"/>
            <w:left w:w="106" w:type="dxa"/>
            <w:bottom w:w="0" w:type="dxa"/>
            <w:right w:w="110" w:type="dxa"/>
          </w:tblCellMar>
        </w:tblPrEx>
        <w:trPr>
          <w:trHeight w:val="648" w:hRule="atLeast"/>
          <w:jc w:val="center"/>
        </w:trPr>
        <w:tc>
          <w:tcPr>
            <w:tcW w:w="1656" w:type="dxa"/>
            <w:tcBorders>
              <w:top w:val="single" w:color="000000" w:sz="4" w:space="0"/>
              <w:left w:val="single" w:color="000000" w:sz="4" w:space="0"/>
              <w:bottom w:val="single" w:color="000000" w:sz="4" w:space="0"/>
              <w:right w:val="single" w:color="000000" w:sz="4" w:space="0"/>
            </w:tcBorders>
            <w:vAlign w:val="center"/>
          </w:tcPr>
          <w:p w14:paraId="11A7A0EA">
            <w:pPr>
              <w:keepNext w:val="0"/>
              <w:keepLines w:val="0"/>
              <w:pageBreakBefore w:val="0"/>
              <w:widowControl w:val="0"/>
              <w:kinsoku/>
              <w:wordWrap/>
              <w:overflowPunct/>
              <w:topLinePunct w:val="0"/>
              <w:autoSpaceDE/>
              <w:autoSpaceDN/>
              <w:bidi w:val="0"/>
              <w:adjustRightInd/>
              <w:snapToGrid/>
              <w:spacing w:after="0" w:line="240" w:lineRule="auto"/>
              <w:ind w:left="24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演练时间 </w:t>
            </w:r>
          </w:p>
        </w:tc>
        <w:tc>
          <w:tcPr>
            <w:tcW w:w="2905" w:type="dxa"/>
            <w:tcBorders>
              <w:top w:val="single" w:color="000000" w:sz="4" w:space="0"/>
              <w:left w:val="single" w:color="000000" w:sz="4" w:space="0"/>
              <w:bottom w:val="single" w:color="000000" w:sz="4" w:space="0"/>
              <w:right w:val="nil"/>
            </w:tcBorders>
          </w:tcPr>
          <w:p w14:paraId="760CB405">
            <w:pPr>
              <w:keepNext w:val="0"/>
              <w:keepLines w:val="0"/>
              <w:pageBreakBefore w:val="0"/>
              <w:widowControl w:val="0"/>
              <w:kinsoku/>
              <w:wordWrap/>
              <w:overflowPunct/>
              <w:topLinePunct w:val="0"/>
              <w:autoSpaceDE/>
              <w:autoSpaceDN/>
              <w:bidi w:val="0"/>
              <w:adjustRightInd/>
              <w:snapToGrid/>
              <w:spacing w:after="0" w:line="240" w:lineRule="auto"/>
              <w:ind w:left="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 </w:t>
            </w:r>
          </w:p>
        </w:tc>
        <w:tc>
          <w:tcPr>
            <w:tcW w:w="302" w:type="dxa"/>
            <w:tcBorders>
              <w:top w:val="single" w:color="000000" w:sz="4" w:space="0"/>
              <w:left w:val="nil"/>
              <w:bottom w:val="single" w:color="000000" w:sz="4" w:space="0"/>
              <w:right w:val="single" w:color="000000" w:sz="4" w:space="0"/>
            </w:tcBorders>
          </w:tcPr>
          <w:p w14:paraId="004D6E94">
            <w:pPr>
              <w:keepNext w:val="0"/>
              <w:keepLines w:val="0"/>
              <w:pageBreakBefore w:val="0"/>
              <w:widowControl w:val="0"/>
              <w:kinsoku/>
              <w:wordWrap/>
              <w:overflowPunct/>
              <w:topLinePunct w:val="0"/>
              <w:autoSpaceDE/>
              <w:autoSpaceDN/>
              <w:bidi w:val="0"/>
              <w:adjustRightInd/>
              <w:snapToGrid/>
              <w:spacing w:after="160" w:line="240" w:lineRule="auto"/>
              <w:ind w:left="0" w:right="0" w:firstLine="0" w:firstLineChars="0"/>
              <w:textAlignment w:val="auto"/>
              <w:rPr>
                <w:rFonts w:hint="default" w:ascii="Times New Roman" w:hAnsi="Times New Roman" w:eastAsia="仿宋" w:cs="Times New Roman"/>
                <w:sz w:val="28"/>
                <w:szCs w:val="28"/>
              </w:rPr>
            </w:pPr>
          </w:p>
        </w:tc>
        <w:tc>
          <w:tcPr>
            <w:tcW w:w="1337" w:type="dxa"/>
            <w:tcBorders>
              <w:top w:val="single" w:color="000000" w:sz="4" w:space="0"/>
              <w:left w:val="single" w:color="000000" w:sz="4" w:space="0"/>
              <w:bottom w:val="single" w:color="000000" w:sz="4" w:space="0"/>
              <w:right w:val="single" w:color="000000" w:sz="4" w:space="0"/>
            </w:tcBorders>
            <w:vAlign w:val="center"/>
          </w:tcPr>
          <w:p w14:paraId="2F3DB636">
            <w:pPr>
              <w:keepNext w:val="0"/>
              <w:keepLines w:val="0"/>
              <w:pageBreakBefore w:val="0"/>
              <w:widowControl w:val="0"/>
              <w:kinsoku/>
              <w:wordWrap/>
              <w:overflowPunct/>
              <w:topLinePunct w:val="0"/>
              <w:autoSpaceDE/>
              <w:autoSpaceDN/>
              <w:bidi w:val="0"/>
              <w:adjustRightInd/>
              <w:snapToGrid/>
              <w:spacing w:after="0" w:line="240" w:lineRule="auto"/>
              <w:ind w:left="82" w:right="0" w:firstLine="0" w:firstLineChars="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演练地点 </w:t>
            </w:r>
          </w:p>
        </w:tc>
        <w:tc>
          <w:tcPr>
            <w:tcW w:w="2521" w:type="dxa"/>
            <w:tcBorders>
              <w:top w:val="single" w:color="000000" w:sz="4" w:space="0"/>
              <w:left w:val="single" w:color="000000" w:sz="4" w:space="0"/>
              <w:bottom w:val="single" w:color="000000" w:sz="4" w:space="0"/>
              <w:right w:val="single" w:color="000000" w:sz="4" w:space="0"/>
            </w:tcBorders>
          </w:tcPr>
          <w:p w14:paraId="1DBEAD10">
            <w:pPr>
              <w:keepNext w:val="0"/>
              <w:keepLines w:val="0"/>
              <w:pageBreakBefore w:val="0"/>
              <w:widowControl w:val="0"/>
              <w:kinsoku/>
              <w:wordWrap/>
              <w:overflowPunct/>
              <w:topLinePunct w:val="0"/>
              <w:autoSpaceDE/>
              <w:autoSpaceDN/>
              <w:bidi w:val="0"/>
              <w:adjustRightInd/>
              <w:snapToGrid/>
              <w:spacing w:after="0" w:line="240" w:lineRule="auto"/>
              <w:ind w:left="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 </w:t>
            </w:r>
          </w:p>
        </w:tc>
      </w:tr>
      <w:tr w14:paraId="2E1B079B">
        <w:tblPrEx>
          <w:tblCellMar>
            <w:top w:w="88" w:type="dxa"/>
            <w:left w:w="106" w:type="dxa"/>
            <w:bottom w:w="0" w:type="dxa"/>
            <w:right w:w="110" w:type="dxa"/>
          </w:tblCellMar>
        </w:tblPrEx>
        <w:trPr>
          <w:trHeight w:val="646" w:hRule="atLeast"/>
          <w:jc w:val="center"/>
        </w:trPr>
        <w:tc>
          <w:tcPr>
            <w:tcW w:w="1656" w:type="dxa"/>
            <w:tcBorders>
              <w:top w:val="single" w:color="000000" w:sz="4" w:space="0"/>
              <w:left w:val="single" w:color="000000" w:sz="4" w:space="0"/>
              <w:bottom w:val="single" w:color="000000" w:sz="4" w:space="0"/>
              <w:right w:val="single" w:color="000000" w:sz="4" w:space="0"/>
            </w:tcBorders>
            <w:vAlign w:val="center"/>
          </w:tcPr>
          <w:p w14:paraId="1B9D65F8">
            <w:pPr>
              <w:keepNext w:val="0"/>
              <w:keepLines w:val="0"/>
              <w:pageBreakBefore w:val="0"/>
              <w:widowControl w:val="0"/>
              <w:kinsoku/>
              <w:wordWrap/>
              <w:overflowPunct/>
              <w:topLinePunct w:val="0"/>
              <w:autoSpaceDE/>
              <w:autoSpaceDN/>
              <w:bidi w:val="0"/>
              <w:adjustRightInd/>
              <w:snapToGrid/>
              <w:spacing w:after="0" w:line="240" w:lineRule="auto"/>
              <w:ind w:left="24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演练名称 </w:t>
            </w:r>
          </w:p>
        </w:tc>
        <w:tc>
          <w:tcPr>
            <w:tcW w:w="2905" w:type="dxa"/>
            <w:tcBorders>
              <w:top w:val="single" w:color="000000" w:sz="4" w:space="0"/>
              <w:left w:val="single" w:color="000000" w:sz="4" w:space="0"/>
              <w:bottom w:val="single" w:color="000000" w:sz="4" w:space="0"/>
              <w:right w:val="nil"/>
            </w:tcBorders>
          </w:tcPr>
          <w:p w14:paraId="5E9D185A">
            <w:pPr>
              <w:keepNext w:val="0"/>
              <w:keepLines w:val="0"/>
              <w:pageBreakBefore w:val="0"/>
              <w:widowControl w:val="0"/>
              <w:kinsoku/>
              <w:wordWrap/>
              <w:overflowPunct/>
              <w:topLinePunct w:val="0"/>
              <w:autoSpaceDE/>
              <w:autoSpaceDN/>
              <w:bidi w:val="0"/>
              <w:adjustRightInd/>
              <w:snapToGrid/>
              <w:spacing w:after="0" w:line="240" w:lineRule="auto"/>
              <w:ind w:left="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 </w:t>
            </w:r>
          </w:p>
        </w:tc>
        <w:tc>
          <w:tcPr>
            <w:tcW w:w="302" w:type="dxa"/>
            <w:tcBorders>
              <w:top w:val="single" w:color="000000" w:sz="4" w:space="0"/>
              <w:left w:val="nil"/>
              <w:bottom w:val="single" w:color="000000" w:sz="4" w:space="0"/>
              <w:right w:val="single" w:color="000000" w:sz="4" w:space="0"/>
            </w:tcBorders>
          </w:tcPr>
          <w:p w14:paraId="7D834847">
            <w:pPr>
              <w:keepNext w:val="0"/>
              <w:keepLines w:val="0"/>
              <w:pageBreakBefore w:val="0"/>
              <w:widowControl w:val="0"/>
              <w:kinsoku/>
              <w:wordWrap/>
              <w:overflowPunct/>
              <w:topLinePunct w:val="0"/>
              <w:autoSpaceDE/>
              <w:autoSpaceDN/>
              <w:bidi w:val="0"/>
              <w:adjustRightInd/>
              <w:snapToGrid/>
              <w:spacing w:after="160" w:line="240" w:lineRule="auto"/>
              <w:ind w:left="0" w:right="0" w:firstLine="0" w:firstLineChars="0"/>
              <w:textAlignment w:val="auto"/>
              <w:rPr>
                <w:rFonts w:hint="default" w:ascii="Times New Roman" w:hAnsi="Times New Roman" w:eastAsia="仿宋" w:cs="Times New Roman"/>
                <w:sz w:val="28"/>
                <w:szCs w:val="28"/>
              </w:rPr>
            </w:pPr>
          </w:p>
        </w:tc>
        <w:tc>
          <w:tcPr>
            <w:tcW w:w="1337" w:type="dxa"/>
            <w:tcBorders>
              <w:top w:val="single" w:color="000000" w:sz="4" w:space="0"/>
              <w:left w:val="single" w:color="000000" w:sz="4" w:space="0"/>
              <w:bottom w:val="single" w:color="000000" w:sz="4" w:space="0"/>
              <w:right w:val="single" w:color="000000" w:sz="4" w:space="0"/>
            </w:tcBorders>
            <w:vAlign w:val="center"/>
          </w:tcPr>
          <w:p w14:paraId="7D7611E0">
            <w:pPr>
              <w:keepNext w:val="0"/>
              <w:keepLines w:val="0"/>
              <w:pageBreakBefore w:val="0"/>
              <w:widowControl w:val="0"/>
              <w:kinsoku/>
              <w:wordWrap/>
              <w:overflowPunct/>
              <w:topLinePunct w:val="0"/>
              <w:autoSpaceDE/>
              <w:autoSpaceDN/>
              <w:bidi w:val="0"/>
              <w:adjustRightInd/>
              <w:snapToGrid/>
              <w:spacing w:after="0" w:line="240" w:lineRule="auto"/>
              <w:ind w:left="20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指挥人 </w:t>
            </w:r>
          </w:p>
        </w:tc>
        <w:tc>
          <w:tcPr>
            <w:tcW w:w="2521" w:type="dxa"/>
            <w:tcBorders>
              <w:top w:val="single" w:color="000000" w:sz="4" w:space="0"/>
              <w:left w:val="single" w:color="000000" w:sz="4" w:space="0"/>
              <w:bottom w:val="single" w:color="000000" w:sz="4" w:space="0"/>
              <w:right w:val="single" w:color="000000" w:sz="4" w:space="0"/>
            </w:tcBorders>
          </w:tcPr>
          <w:p w14:paraId="1655B5D2">
            <w:pPr>
              <w:keepNext w:val="0"/>
              <w:keepLines w:val="0"/>
              <w:pageBreakBefore w:val="0"/>
              <w:widowControl w:val="0"/>
              <w:kinsoku/>
              <w:wordWrap/>
              <w:overflowPunct/>
              <w:topLinePunct w:val="0"/>
              <w:autoSpaceDE/>
              <w:autoSpaceDN/>
              <w:bidi w:val="0"/>
              <w:adjustRightInd/>
              <w:snapToGrid/>
              <w:spacing w:after="0" w:line="240" w:lineRule="auto"/>
              <w:ind w:left="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 </w:t>
            </w:r>
          </w:p>
        </w:tc>
      </w:tr>
      <w:tr w14:paraId="7C6A60A6">
        <w:tblPrEx>
          <w:tblCellMar>
            <w:top w:w="88" w:type="dxa"/>
            <w:left w:w="106" w:type="dxa"/>
            <w:bottom w:w="0" w:type="dxa"/>
            <w:right w:w="110" w:type="dxa"/>
          </w:tblCellMar>
        </w:tblPrEx>
        <w:trPr>
          <w:trHeight w:val="1485" w:hRule="atLeast"/>
          <w:jc w:val="center"/>
        </w:trPr>
        <w:tc>
          <w:tcPr>
            <w:tcW w:w="4561" w:type="dxa"/>
            <w:gridSpan w:val="2"/>
            <w:tcBorders>
              <w:top w:val="single" w:color="000000" w:sz="4" w:space="0"/>
              <w:left w:val="single" w:color="000000" w:sz="4" w:space="0"/>
              <w:bottom w:val="single" w:color="000000" w:sz="4" w:space="0"/>
              <w:right w:val="nil"/>
            </w:tcBorders>
          </w:tcPr>
          <w:p w14:paraId="0A182041">
            <w:pPr>
              <w:keepNext w:val="0"/>
              <w:keepLines w:val="0"/>
              <w:pageBreakBefore w:val="0"/>
              <w:widowControl w:val="0"/>
              <w:kinsoku/>
              <w:wordWrap/>
              <w:overflowPunct/>
              <w:topLinePunct w:val="0"/>
              <w:autoSpaceDE/>
              <w:autoSpaceDN/>
              <w:bidi w:val="0"/>
              <w:adjustRightInd/>
              <w:snapToGrid/>
              <w:spacing w:after="0" w:line="240" w:lineRule="auto"/>
              <w:ind w:left="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参加人： </w:t>
            </w:r>
          </w:p>
        </w:tc>
        <w:tc>
          <w:tcPr>
            <w:tcW w:w="4160" w:type="dxa"/>
            <w:gridSpan w:val="3"/>
            <w:tcBorders>
              <w:top w:val="single" w:color="000000" w:sz="4" w:space="0"/>
              <w:left w:val="nil"/>
              <w:bottom w:val="single" w:color="000000" w:sz="4" w:space="0"/>
              <w:right w:val="single" w:color="000000" w:sz="4" w:space="0"/>
            </w:tcBorders>
          </w:tcPr>
          <w:p w14:paraId="7AAE31BF">
            <w:pPr>
              <w:keepNext w:val="0"/>
              <w:keepLines w:val="0"/>
              <w:pageBreakBefore w:val="0"/>
              <w:widowControl w:val="0"/>
              <w:kinsoku/>
              <w:wordWrap/>
              <w:overflowPunct/>
              <w:topLinePunct w:val="0"/>
              <w:autoSpaceDE/>
              <w:autoSpaceDN/>
              <w:bidi w:val="0"/>
              <w:adjustRightInd/>
              <w:snapToGrid/>
              <w:spacing w:after="160" w:line="240" w:lineRule="auto"/>
              <w:ind w:left="0" w:right="0" w:firstLine="0" w:firstLineChars="0"/>
              <w:textAlignment w:val="auto"/>
              <w:rPr>
                <w:rFonts w:hint="default" w:ascii="Times New Roman" w:hAnsi="Times New Roman" w:eastAsia="仿宋" w:cs="Times New Roman"/>
                <w:sz w:val="28"/>
                <w:szCs w:val="28"/>
              </w:rPr>
            </w:pPr>
          </w:p>
        </w:tc>
      </w:tr>
      <w:tr w14:paraId="7217789E">
        <w:tblPrEx>
          <w:tblCellMar>
            <w:top w:w="88" w:type="dxa"/>
            <w:left w:w="106" w:type="dxa"/>
            <w:bottom w:w="0" w:type="dxa"/>
            <w:right w:w="110" w:type="dxa"/>
          </w:tblCellMar>
        </w:tblPrEx>
        <w:trPr>
          <w:trHeight w:val="1929" w:hRule="atLeast"/>
          <w:jc w:val="center"/>
        </w:trPr>
        <w:tc>
          <w:tcPr>
            <w:tcW w:w="4561" w:type="dxa"/>
            <w:gridSpan w:val="2"/>
            <w:tcBorders>
              <w:top w:val="single" w:color="000000" w:sz="4" w:space="0"/>
              <w:left w:val="single" w:color="000000" w:sz="4" w:space="0"/>
              <w:bottom w:val="single" w:color="000000" w:sz="4" w:space="0"/>
              <w:right w:val="nil"/>
            </w:tcBorders>
          </w:tcPr>
          <w:p w14:paraId="468F59D0">
            <w:pPr>
              <w:keepNext w:val="0"/>
              <w:keepLines w:val="0"/>
              <w:pageBreakBefore w:val="0"/>
              <w:widowControl w:val="0"/>
              <w:kinsoku/>
              <w:wordWrap/>
              <w:overflowPunct/>
              <w:topLinePunct w:val="0"/>
              <w:autoSpaceDE/>
              <w:autoSpaceDN/>
              <w:bidi w:val="0"/>
              <w:adjustRightInd/>
              <w:snapToGrid/>
              <w:spacing w:after="0" w:line="240" w:lineRule="auto"/>
              <w:ind w:left="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演练过程： </w:t>
            </w:r>
          </w:p>
        </w:tc>
        <w:tc>
          <w:tcPr>
            <w:tcW w:w="4160" w:type="dxa"/>
            <w:gridSpan w:val="3"/>
            <w:tcBorders>
              <w:top w:val="single" w:color="000000" w:sz="4" w:space="0"/>
              <w:left w:val="nil"/>
              <w:bottom w:val="single" w:color="000000" w:sz="4" w:space="0"/>
              <w:right w:val="single" w:color="000000" w:sz="4" w:space="0"/>
            </w:tcBorders>
          </w:tcPr>
          <w:p w14:paraId="3E660338">
            <w:pPr>
              <w:keepNext w:val="0"/>
              <w:keepLines w:val="0"/>
              <w:pageBreakBefore w:val="0"/>
              <w:widowControl w:val="0"/>
              <w:kinsoku/>
              <w:wordWrap/>
              <w:overflowPunct/>
              <w:topLinePunct w:val="0"/>
              <w:autoSpaceDE/>
              <w:autoSpaceDN/>
              <w:bidi w:val="0"/>
              <w:adjustRightInd/>
              <w:snapToGrid/>
              <w:spacing w:after="160" w:line="240" w:lineRule="auto"/>
              <w:ind w:left="0" w:right="0" w:firstLine="0" w:firstLineChars="0"/>
              <w:textAlignment w:val="auto"/>
              <w:rPr>
                <w:rFonts w:hint="default" w:ascii="Times New Roman" w:hAnsi="Times New Roman" w:eastAsia="仿宋" w:cs="Times New Roman"/>
                <w:sz w:val="28"/>
                <w:szCs w:val="28"/>
              </w:rPr>
            </w:pPr>
          </w:p>
        </w:tc>
      </w:tr>
      <w:tr w14:paraId="15122AFB">
        <w:tblPrEx>
          <w:tblCellMar>
            <w:top w:w="88" w:type="dxa"/>
            <w:left w:w="106" w:type="dxa"/>
            <w:bottom w:w="0" w:type="dxa"/>
            <w:right w:w="110" w:type="dxa"/>
          </w:tblCellMar>
        </w:tblPrEx>
        <w:trPr>
          <w:trHeight w:val="2456" w:hRule="atLeast"/>
          <w:jc w:val="center"/>
        </w:trPr>
        <w:tc>
          <w:tcPr>
            <w:tcW w:w="4561" w:type="dxa"/>
            <w:gridSpan w:val="2"/>
            <w:tcBorders>
              <w:top w:val="single" w:color="000000" w:sz="4" w:space="0"/>
              <w:left w:val="single" w:color="000000" w:sz="4" w:space="0"/>
              <w:bottom w:val="single" w:color="000000" w:sz="4" w:space="0"/>
              <w:right w:val="nil"/>
            </w:tcBorders>
          </w:tcPr>
          <w:p w14:paraId="1D5D02C0">
            <w:pPr>
              <w:keepNext w:val="0"/>
              <w:keepLines w:val="0"/>
              <w:pageBreakBefore w:val="0"/>
              <w:widowControl w:val="0"/>
              <w:kinsoku/>
              <w:wordWrap/>
              <w:overflowPunct/>
              <w:topLinePunct w:val="0"/>
              <w:autoSpaceDE/>
              <w:autoSpaceDN/>
              <w:bidi w:val="0"/>
              <w:adjustRightInd/>
              <w:snapToGrid/>
              <w:spacing w:after="0" w:line="240" w:lineRule="auto"/>
              <w:ind w:left="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演练存在的问题及整改措施： </w:t>
            </w:r>
          </w:p>
        </w:tc>
        <w:tc>
          <w:tcPr>
            <w:tcW w:w="4160" w:type="dxa"/>
            <w:gridSpan w:val="3"/>
            <w:tcBorders>
              <w:top w:val="single" w:color="000000" w:sz="4" w:space="0"/>
              <w:left w:val="nil"/>
              <w:bottom w:val="single" w:color="000000" w:sz="4" w:space="0"/>
              <w:right w:val="single" w:color="000000" w:sz="4" w:space="0"/>
            </w:tcBorders>
          </w:tcPr>
          <w:p w14:paraId="16E87437">
            <w:pPr>
              <w:keepNext w:val="0"/>
              <w:keepLines w:val="0"/>
              <w:pageBreakBefore w:val="0"/>
              <w:widowControl w:val="0"/>
              <w:kinsoku/>
              <w:wordWrap/>
              <w:overflowPunct/>
              <w:topLinePunct w:val="0"/>
              <w:autoSpaceDE/>
              <w:autoSpaceDN/>
              <w:bidi w:val="0"/>
              <w:adjustRightInd/>
              <w:snapToGrid/>
              <w:spacing w:after="160" w:line="240" w:lineRule="auto"/>
              <w:ind w:left="0" w:right="0" w:firstLine="0" w:firstLineChars="0"/>
              <w:textAlignment w:val="auto"/>
              <w:rPr>
                <w:rFonts w:hint="default" w:ascii="Times New Roman" w:hAnsi="Times New Roman" w:eastAsia="仿宋" w:cs="Times New Roman"/>
                <w:sz w:val="28"/>
                <w:szCs w:val="28"/>
              </w:rPr>
            </w:pPr>
          </w:p>
        </w:tc>
      </w:tr>
      <w:tr w14:paraId="736E7B49">
        <w:tblPrEx>
          <w:tblCellMar>
            <w:top w:w="88" w:type="dxa"/>
            <w:left w:w="106" w:type="dxa"/>
            <w:bottom w:w="0" w:type="dxa"/>
            <w:right w:w="110" w:type="dxa"/>
          </w:tblCellMar>
        </w:tblPrEx>
        <w:trPr>
          <w:trHeight w:val="1350" w:hRule="atLeast"/>
          <w:jc w:val="center"/>
        </w:trPr>
        <w:tc>
          <w:tcPr>
            <w:tcW w:w="4561" w:type="dxa"/>
            <w:gridSpan w:val="2"/>
            <w:tcBorders>
              <w:top w:val="single" w:color="000000" w:sz="4" w:space="0"/>
              <w:left w:val="single" w:color="000000" w:sz="4" w:space="0"/>
              <w:bottom w:val="single" w:color="000000" w:sz="4" w:space="0"/>
              <w:right w:val="single" w:color="000000" w:sz="4" w:space="0"/>
            </w:tcBorders>
            <w:vAlign w:val="center"/>
          </w:tcPr>
          <w:p w14:paraId="6B571ACF">
            <w:pPr>
              <w:keepNext w:val="0"/>
              <w:keepLines w:val="0"/>
              <w:pageBreakBefore w:val="0"/>
              <w:widowControl w:val="0"/>
              <w:kinsoku/>
              <w:wordWrap/>
              <w:overflowPunct/>
              <w:topLinePunct w:val="0"/>
              <w:autoSpaceDE/>
              <w:autoSpaceDN/>
              <w:bidi w:val="0"/>
              <w:adjustRightInd/>
              <w:snapToGrid/>
              <w:spacing w:after="0" w:line="240" w:lineRule="auto"/>
              <w:ind w:left="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单位主管领导签字： </w:t>
            </w:r>
          </w:p>
        </w:tc>
        <w:tc>
          <w:tcPr>
            <w:tcW w:w="4160" w:type="dxa"/>
            <w:gridSpan w:val="3"/>
            <w:tcBorders>
              <w:top w:val="single" w:color="000000" w:sz="4" w:space="0"/>
              <w:left w:val="single" w:color="000000" w:sz="4" w:space="0"/>
              <w:bottom w:val="single" w:color="000000" w:sz="4" w:space="0"/>
              <w:right w:val="single" w:color="000000" w:sz="4" w:space="0"/>
            </w:tcBorders>
            <w:vAlign w:val="center"/>
          </w:tcPr>
          <w:p w14:paraId="6691976F">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评价人签字： </w:t>
            </w:r>
          </w:p>
        </w:tc>
      </w:tr>
      <w:tr w14:paraId="74E7A378">
        <w:tblPrEx>
          <w:tblCellMar>
            <w:top w:w="88" w:type="dxa"/>
            <w:left w:w="106" w:type="dxa"/>
            <w:bottom w:w="0" w:type="dxa"/>
            <w:right w:w="110" w:type="dxa"/>
          </w:tblCellMar>
        </w:tblPrEx>
        <w:trPr>
          <w:trHeight w:val="1563" w:hRule="atLeast"/>
          <w:jc w:val="center"/>
        </w:trPr>
        <w:tc>
          <w:tcPr>
            <w:tcW w:w="4561" w:type="dxa"/>
            <w:gridSpan w:val="2"/>
            <w:tcBorders>
              <w:top w:val="single" w:color="000000" w:sz="4" w:space="0"/>
              <w:left w:val="single" w:color="000000" w:sz="4" w:space="0"/>
              <w:bottom w:val="single" w:color="000000" w:sz="4" w:space="0"/>
              <w:right w:val="single" w:color="000000" w:sz="4" w:space="0"/>
            </w:tcBorders>
            <w:vAlign w:val="center"/>
          </w:tcPr>
          <w:p w14:paraId="34BD9D33">
            <w:pPr>
              <w:keepNext w:val="0"/>
              <w:keepLines w:val="0"/>
              <w:pageBreakBefore w:val="0"/>
              <w:widowControl w:val="0"/>
              <w:kinsoku/>
              <w:wordWrap/>
              <w:overflowPunct/>
              <w:topLinePunct w:val="0"/>
              <w:autoSpaceDE/>
              <w:autoSpaceDN/>
              <w:bidi w:val="0"/>
              <w:adjustRightInd/>
              <w:snapToGrid/>
              <w:spacing w:after="0" w:line="240" w:lineRule="auto"/>
              <w:ind w:left="2"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保存部门： </w:t>
            </w:r>
          </w:p>
        </w:tc>
        <w:tc>
          <w:tcPr>
            <w:tcW w:w="4160" w:type="dxa"/>
            <w:gridSpan w:val="3"/>
            <w:tcBorders>
              <w:top w:val="single" w:color="000000" w:sz="4" w:space="0"/>
              <w:left w:val="single" w:color="000000" w:sz="4" w:space="0"/>
              <w:bottom w:val="single" w:color="000000" w:sz="4" w:space="0"/>
              <w:right w:val="single" w:color="000000" w:sz="4" w:space="0"/>
            </w:tcBorders>
            <w:vAlign w:val="center"/>
          </w:tcPr>
          <w:p w14:paraId="6D9062EF">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保存期： </w:t>
            </w:r>
          </w:p>
        </w:tc>
      </w:tr>
    </w:tbl>
    <w:p w14:paraId="262509E9">
      <w:pPr>
        <w:keepNext w:val="0"/>
        <w:keepLines w:val="0"/>
        <w:pageBreakBefore w:val="0"/>
        <w:widowControl w:val="0"/>
        <w:kinsoku/>
        <w:overflowPunct/>
        <w:topLinePunct w:val="0"/>
        <w:bidi w:val="0"/>
        <w:spacing w:after="3" w:line="360" w:lineRule="auto"/>
        <w:ind w:left="1685" w:right="1992"/>
        <w:jc w:val="center"/>
        <w:rPr>
          <w:rFonts w:hint="default" w:ascii="Times New Roman" w:hAnsi="Times New Roman" w:eastAsia="仿宋" w:cs="Times New Roman"/>
          <w:b/>
          <w:bCs/>
          <w:sz w:val="28"/>
          <w:szCs w:val="28"/>
        </w:rPr>
      </w:pPr>
    </w:p>
    <w:p w14:paraId="22521664">
      <w:pPr>
        <w:keepNext w:val="0"/>
        <w:keepLines w:val="0"/>
        <w:pageBreakBefore w:val="0"/>
        <w:widowControl w:val="0"/>
        <w:kinsoku/>
        <w:overflowPunct/>
        <w:topLinePunct w:val="0"/>
        <w:bidi w:val="0"/>
        <w:spacing w:after="3" w:line="360" w:lineRule="auto"/>
        <w:ind w:left="1685" w:right="1992"/>
        <w:jc w:val="center"/>
        <w:rPr>
          <w:rFonts w:hint="default" w:ascii="Times New Roman" w:hAnsi="Times New Roman" w:eastAsia="仿宋" w:cs="Times New Roman"/>
          <w:b/>
          <w:bCs/>
          <w:sz w:val="28"/>
          <w:szCs w:val="28"/>
        </w:rPr>
      </w:pPr>
    </w:p>
    <w:p w14:paraId="49A47F45">
      <w:pPr>
        <w:keepNext w:val="0"/>
        <w:keepLines w:val="0"/>
        <w:pageBreakBefore w:val="0"/>
        <w:widowControl w:val="0"/>
        <w:kinsoku/>
        <w:overflowPunct/>
        <w:topLinePunct w:val="0"/>
        <w:bidi w:val="0"/>
        <w:spacing w:after="3" w:line="360" w:lineRule="auto"/>
        <w:ind w:left="1685" w:right="1992"/>
        <w:jc w:val="center"/>
        <w:rPr>
          <w:rFonts w:hint="default" w:ascii="Times New Roman" w:hAnsi="Times New Roman" w:eastAsia="仿宋" w:cs="Times New Roman"/>
          <w:b/>
          <w:bCs/>
          <w:sz w:val="28"/>
          <w:szCs w:val="28"/>
        </w:rPr>
      </w:pPr>
    </w:p>
    <w:p w14:paraId="3D301917">
      <w:pPr>
        <w:keepNext w:val="0"/>
        <w:keepLines w:val="0"/>
        <w:pageBreakBefore w:val="0"/>
        <w:widowControl w:val="0"/>
        <w:kinsoku/>
        <w:overflowPunct/>
        <w:topLinePunct w:val="0"/>
        <w:bidi w:val="0"/>
        <w:spacing w:after="3" w:line="360" w:lineRule="auto"/>
        <w:ind w:left="1685" w:right="1992"/>
        <w:jc w:val="center"/>
        <w:rPr>
          <w:rFonts w:hint="default" w:ascii="Times New Roman" w:hAnsi="Times New Roman" w:eastAsia="仿宋" w:cs="Times New Roman"/>
          <w:b/>
          <w:bCs/>
          <w:sz w:val="28"/>
          <w:szCs w:val="28"/>
        </w:rPr>
        <w:sectPr>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7D8D32AB">
      <w:pPr>
        <w:keepNext w:val="0"/>
        <w:keepLines w:val="0"/>
        <w:pageBreakBefore w:val="0"/>
        <w:widowControl w:val="0"/>
        <w:kinsoku/>
        <w:overflowPunct/>
        <w:topLinePunct w:val="0"/>
        <w:bidi w:val="0"/>
        <w:spacing w:after="3" w:line="360" w:lineRule="auto"/>
        <w:ind w:left="1685" w:right="1992"/>
        <w:jc w:val="center"/>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 xml:space="preserve">应急演练总结报告 </w:t>
      </w:r>
    </w:p>
    <w:tbl>
      <w:tblPr>
        <w:tblStyle w:val="26"/>
        <w:tblW w:w="8723" w:type="dxa"/>
        <w:jc w:val="center"/>
        <w:tblLayout w:type="autofit"/>
        <w:tblCellMar>
          <w:top w:w="49" w:type="dxa"/>
          <w:left w:w="5" w:type="dxa"/>
          <w:bottom w:w="0" w:type="dxa"/>
          <w:right w:w="115" w:type="dxa"/>
        </w:tblCellMar>
      </w:tblPr>
      <w:tblGrid>
        <w:gridCol w:w="1716"/>
        <w:gridCol w:w="2643"/>
        <w:gridCol w:w="1109"/>
        <w:gridCol w:w="1426"/>
        <w:gridCol w:w="1829"/>
      </w:tblGrid>
      <w:tr w14:paraId="65EE957F">
        <w:tblPrEx>
          <w:tblCellMar>
            <w:top w:w="49" w:type="dxa"/>
            <w:left w:w="5" w:type="dxa"/>
            <w:bottom w:w="0" w:type="dxa"/>
            <w:right w:w="115" w:type="dxa"/>
          </w:tblCellMar>
        </w:tblPrEx>
        <w:trPr>
          <w:trHeight w:val="607" w:hRule="atLeast"/>
          <w:jc w:val="center"/>
        </w:trPr>
        <w:tc>
          <w:tcPr>
            <w:tcW w:w="4359" w:type="dxa"/>
            <w:gridSpan w:val="2"/>
            <w:tcBorders>
              <w:top w:val="single" w:color="000000" w:sz="4" w:space="0"/>
              <w:left w:val="single" w:color="000000" w:sz="4" w:space="0"/>
              <w:bottom w:val="single" w:color="000000" w:sz="4" w:space="0"/>
              <w:right w:val="nil"/>
            </w:tcBorders>
            <w:vAlign w:val="center"/>
          </w:tcPr>
          <w:p w14:paraId="1BE061FE">
            <w:pPr>
              <w:keepNext w:val="0"/>
              <w:keepLines w:val="0"/>
              <w:pageBreakBefore w:val="0"/>
              <w:widowControl w:val="0"/>
              <w:tabs>
                <w:tab w:val="center" w:pos="1711"/>
              </w:tabs>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编号：</w:t>
            </w:r>
          </w:p>
        </w:tc>
        <w:tc>
          <w:tcPr>
            <w:tcW w:w="4364" w:type="dxa"/>
            <w:gridSpan w:val="3"/>
            <w:tcBorders>
              <w:top w:val="single" w:color="000000" w:sz="4" w:space="0"/>
              <w:left w:val="nil"/>
              <w:bottom w:val="single" w:color="000000" w:sz="4" w:space="0"/>
              <w:right w:val="single" w:color="000000" w:sz="4" w:space="0"/>
            </w:tcBorders>
            <w:vAlign w:val="center"/>
          </w:tcPr>
          <w:p w14:paraId="3E49EF5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p>
        </w:tc>
      </w:tr>
      <w:tr w14:paraId="3C9960BE">
        <w:tblPrEx>
          <w:tblCellMar>
            <w:top w:w="49" w:type="dxa"/>
            <w:left w:w="5" w:type="dxa"/>
            <w:bottom w:w="0" w:type="dxa"/>
            <w:right w:w="115" w:type="dxa"/>
          </w:tblCellMar>
        </w:tblPrEx>
        <w:trPr>
          <w:trHeight w:val="607" w:hRule="atLeast"/>
          <w:jc w:val="center"/>
        </w:trPr>
        <w:tc>
          <w:tcPr>
            <w:tcW w:w="1716" w:type="dxa"/>
            <w:tcBorders>
              <w:top w:val="single" w:color="000000" w:sz="4" w:space="0"/>
              <w:left w:val="single" w:color="000000" w:sz="4" w:space="0"/>
              <w:bottom w:val="single" w:color="000000" w:sz="4" w:space="0"/>
              <w:right w:val="single" w:color="000000" w:sz="4" w:space="0"/>
            </w:tcBorders>
            <w:vAlign w:val="center"/>
          </w:tcPr>
          <w:p w14:paraId="55A0462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演练时间</w:t>
            </w:r>
          </w:p>
        </w:tc>
        <w:tc>
          <w:tcPr>
            <w:tcW w:w="2643" w:type="dxa"/>
            <w:tcBorders>
              <w:top w:val="single" w:color="000000" w:sz="4" w:space="0"/>
              <w:left w:val="single" w:color="000000" w:sz="4" w:space="0"/>
              <w:bottom w:val="single" w:color="000000" w:sz="4" w:space="0"/>
              <w:right w:val="nil"/>
            </w:tcBorders>
            <w:vAlign w:val="center"/>
          </w:tcPr>
          <w:p w14:paraId="7C935ED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p>
        </w:tc>
        <w:tc>
          <w:tcPr>
            <w:tcW w:w="1109" w:type="dxa"/>
            <w:tcBorders>
              <w:top w:val="single" w:color="000000" w:sz="4" w:space="0"/>
              <w:left w:val="nil"/>
              <w:bottom w:val="single" w:color="000000" w:sz="4" w:space="0"/>
              <w:right w:val="single" w:color="000000" w:sz="4" w:space="0"/>
            </w:tcBorders>
            <w:vAlign w:val="center"/>
          </w:tcPr>
          <w:p w14:paraId="2FC181A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p>
        </w:tc>
        <w:tc>
          <w:tcPr>
            <w:tcW w:w="1426" w:type="dxa"/>
            <w:tcBorders>
              <w:top w:val="single" w:color="000000" w:sz="4" w:space="0"/>
              <w:left w:val="single" w:color="000000" w:sz="4" w:space="0"/>
              <w:bottom w:val="single" w:color="000000" w:sz="4" w:space="0"/>
              <w:right w:val="single" w:color="000000" w:sz="4" w:space="0"/>
            </w:tcBorders>
            <w:vAlign w:val="center"/>
          </w:tcPr>
          <w:p w14:paraId="4B67223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演练地点</w:t>
            </w:r>
          </w:p>
        </w:tc>
        <w:tc>
          <w:tcPr>
            <w:tcW w:w="1829" w:type="dxa"/>
            <w:tcBorders>
              <w:top w:val="single" w:color="000000" w:sz="4" w:space="0"/>
              <w:left w:val="single" w:color="000000" w:sz="4" w:space="0"/>
              <w:bottom w:val="single" w:color="000000" w:sz="4" w:space="0"/>
              <w:right w:val="single" w:color="000000" w:sz="4" w:space="0"/>
            </w:tcBorders>
            <w:vAlign w:val="center"/>
          </w:tcPr>
          <w:p w14:paraId="6EFBC05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p>
        </w:tc>
      </w:tr>
      <w:tr w14:paraId="61C2F123">
        <w:tblPrEx>
          <w:tblCellMar>
            <w:top w:w="49" w:type="dxa"/>
            <w:left w:w="5" w:type="dxa"/>
            <w:bottom w:w="0" w:type="dxa"/>
            <w:right w:w="115" w:type="dxa"/>
          </w:tblCellMar>
        </w:tblPrEx>
        <w:trPr>
          <w:trHeight w:val="607" w:hRule="atLeast"/>
          <w:jc w:val="center"/>
        </w:trPr>
        <w:tc>
          <w:tcPr>
            <w:tcW w:w="1716" w:type="dxa"/>
            <w:tcBorders>
              <w:top w:val="single" w:color="000000" w:sz="4" w:space="0"/>
              <w:left w:val="single" w:color="000000" w:sz="4" w:space="0"/>
              <w:bottom w:val="single" w:color="000000" w:sz="4" w:space="0"/>
              <w:right w:val="single" w:color="000000" w:sz="4" w:space="0"/>
            </w:tcBorders>
            <w:vAlign w:val="center"/>
          </w:tcPr>
          <w:p w14:paraId="65C7F18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演练名称</w:t>
            </w:r>
          </w:p>
        </w:tc>
        <w:tc>
          <w:tcPr>
            <w:tcW w:w="2643" w:type="dxa"/>
            <w:tcBorders>
              <w:top w:val="single" w:color="000000" w:sz="4" w:space="0"/>
              <w:left w:val="single" w:color="000000" w:sz="4" w:space="0"/>
              <w:bottom w:val="single" w:color="000000" w:sz="4" w:space="0"/>
              <w:right w:val="nil"/>
            </w:tcBorders>
            <w:vAlign w:val="center"/>
          </w:tcPr>
          <w:p w14:paraId="48A8221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p>
        </w:tc>
        <w:tc>
          <w:tcPr>
            <w:tcW w:w="1109" w:type="dxa"/>
            <w:tcBorders>
              <w:top w:val="single" w:color="000000" w:sz="4" w:space="0"/>
              <w:left w:val="nil"/>
              <w:bottom w:val="single" w:color="000000" w:sz="4" w:space="0"/>
              <w:right w:val="single" w:color="000000" w:sz="4" w:space="0"/>
            </w:tcBorders>
            <w:vAlign w:val="center"/>
          </w:tcPr>
          <w:p w14:paraId="11C3152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p>
        </w:tc>
        <w:tc>
          <w:tcPr>
            <w:tcW w:w="1426" w:type="dxa"/>
            <w:tcBorders>
              <w:top w:val="single" w:color="000000" w:sz="4" w:space="0"/>
              <w:left w:val="single" w:color="000000" w:sz="4" w:space="0"/>
              <w:bottom w:val="single" w:color="000000" w:sz="4" w:space="0"/>
              <w:right w:val="single" w:color="000000" w:sz="4" w:space="0"/>
            </w:tcBorders>
            <w:vAlign w:val="center"/>
          </w:tcPr>
          <w:p w14:paraId="483DD12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指挥人</w:t>
            </w:r>
          </w:p>
        </w:tc>
        <w:tc>
          <w:tcPr>
            <w:tcW w:w="1829" w:type="dxa"/>
            <w:tcBorders>
              <w:top w:val="single" w:color="000000" w:sz="4" w:space="0"/>
              <w:left w:val="single" w:color="000000" w:sz="4" w:space="0"/>
              <w:bottom w:val="single" w:color="000000" w:sz="4" w:space="0"/>
              <w:right w:val="single" w:color="000000" w:sz="4" w:space="0"/>
            </w:tcBorders>
            <w:vAlign w:val="center"/>
          </w:tcPr>
          <w:p w14:paraId="456430B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p>
        </w:tc>
      </w:tr>
      <w:tr w14:paraId="7DF42CA2">
        <w:tblPrEx>
          <w:tblCellMar>
            <w:top w:w="49" w:type="dxa"/>
            <w:left w:w="5" w:type="dxa"/>
            <w:bottom w:w="0" w:type="dxa"/>
            <w:right w:w="115" w:type="dxa"/>
          </w:tblCellMar>
        </w:tblPrEx>
        <w:trPr>
          <w:trHeight w:val="1155" w:hRule="atLeast"/>
          <w:jc w:val="center"/>
        </w:trPr>
        <w:tc>
          <w:tcPr>
            <w:tcW w:w="4359" w:type="dxa"/>
            <w:gridSpan w:val="2"/>
            <w:tcBorders>
              <w:top w:val="single" w:color="000000" w:sz="4" w:space="0"/>
              <w:left w:val="single" w:color="000000" w:sz="4" w:space="0"/>
              <w:bottom w:val="single" w:color="000000" w:sz="4" w:space="0"/>
              <w:right w:val="nil"/>
            </w:tcBorders>
            <w:vAlign w:val="top"/>
          </w:tcPr>
          <w:p w14:paraId="4E8940EA">
            <w:pPr>
              <w:keepNext w:val="0"/>
              <w:keepLines w:val="0"/>
              <w:pageBreakBefore w:val="0"/>
              <w:widowControl w:val="0"/>
              <w:tabs>
                <w:tab w:val="center" w:pos="1711"/>
              </w:tabs>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参加人：</w:t>
            </w:r>
          </w:p>
        </w:tc>
        <w:tc>
          <w:tcPr>
            <w:tcW w:w="4364" w:type="dxa"/>
            <w:gridSpan w:val="3"/>
            <w:tcBorders>
              <w:top w:val="single" w:color="000000" w:sz="4" w:space="0"/>
              <w:left w:val="nil"/>
              <w:bottom w:val="single" w:color="000000" w:sz="4" w:space="0"/>
              <w:right w:val="single" w:color="000000" w:sz="4" w:space="0"/>
            </w:tcBorders>
            <w:vAlign w:val="center"/>
          </w:tcPr>
          <w:p w14:paraId="0879D26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p>
        </w:tc>
      </w:tr>
      <w:tr w14:paraId="2218CE38">
        <w:tblPrEx>
          <w:tblCellMar>
            <w:top w:w="49" w:type="dxa"/>
            <w:left w:w="5" w:type="dxa"/>
            <w:bottom w:w="0" w:type="dxa"/>
            <w:right w:w="115" w:type="dxa"/>
          </w:tblCellMar>
        </w:tblPrEx>
        <w:trPr>
          <w:trHeight w:val="90" w:hRule="atLeast"/>
          <w:jc w:val="center"/>
        </w:trPr>
        <w:tc>
          <w:tcPr>
            <w:tcW w:w="4359" w:type="dxa"/>
            <w:gridSpan w:val="2"/>
            <w:tcBorders>
              <w:top w:val="single" w:color="000000" w:sz="4" w:space="0"/>
              <w:left w:val="single" w:color="000000" w:sz="4" w:space="0"/>
              <w:bottom w:val="single" w:color="000000" w:sz="4" w:space="0"/>
              <w:right w:val="nil"/>
            </w:tcBorders>
            <w:vAlign w:val="center"/>
          </w:tcPr>
          <w:p w14:paraId="74E5DFD3">
            <w:pPr>
              <w:keepNext w:val="0"/>
              <w:keepLines w:val="0"/>
              <w:pageBreakBefore w:val="0"/>
              <w:widowControl w:val="0"/>
              <w:tabs>
                <w:tab w:val="center" w:pos="2506"/>
              </w:tabs>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效果评价及完善意见：</w:t>
            </w:r>
          </w:p>
        </w:tc>
        <w:tc>
          <w:tcPr>
            <w:tcW w:w="4364" w:type="dxa"/>
            <w:gridSpan w:val="3"/>
            <w:tcBorders>
              <w:top w:val="single" w:color="000000" w:sz="4" w:space="0"/>
              <w:left w:val="nil"/>
              <w:bottom w:val="single" w:color="000000" w:sz="4" w:space="0"/>
              <w:right w:val="single" w:color="000000" w:sz="4" w:space="0"/>
            </w:tcBorders>
            <w:vAlign w:val="center"/>
          </w:tcPr>
          <w:p w14:paraId="1A518A8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p>
        </w:tc>
      </w:tr>
      <w:tr w14:paraId="672E2DC3">
        <w:tblPrEx>
          <w:tblCellMar>
            <w:top w:w="49" w:type="dxa"/>
            <w:left w:w="5" w:type="dxa"/>
            <w:bottom w:w="0" w:type="dxa"/>
            <w:right w:w="115" w:type="dxa"/>
          </w:tblCellMar>
        </w:tblPrEx>
        <w:trPr>
          <w:trHeight w:val="784" w:hRule="atLeast"/>
          <w:jc w:val="center"/>
        </w:trPr>
        <w:tc>
          <w:tcPr>
            <w:tcW w:w="4359" w:type="dxa"/>
            <w:gridSpan w:val="2"/>
            <w:tcBorders>
              <w:top w:val="single" w:color="000000" w:sz="4" w:space="0"/>
              <w:left w:val="single" w:color="000000" w:sz="4" w:space="0"/>
              <w:bottom w:val="single" w:color="000000" w:sz="4" w:space="0"/>
              <w:right w:val="nil"/>
            </w:tcBorders>
            <w:vAlign w:val="center"/>
          </w:tcPr>
          <w:p w14:paraId="3C3E54C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评价人签字：</w:t>
            </w:r>
          </w:p>
        </w:tc>
        <w:tc>
          <w:tcPr>
            <w:tcW w:w="4364" w:type="dxa"/>
            <w:gridSpan w:val="3"/>
            <w:tcBorders>
              <w:top w:val="single" w:color="000000" w:sz="4" w:space="0"/>
              <w:left w:val="nil"/>
              <w:bottom w:val="single" w:color="000000" w:sz="4" w:space="0"/>
              <w:right w:val="single" w:color="000000" w:sz="4" w:space="0"/>
            </w:tcBorders>
            <w:vAlign w:val="center"/>
          </w:tcPr>
          <w:p w14:paraId="249F2E7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8"/>
                <w:szCs w:val="28"/>
              </w:rPr>
            </w:pPr>
          </w:p>
        </w:tc>
      </w:tr>
      <w:tr w14:paraId="553667D3">
        <w:tblPrEx>
          <w:tblCellMar>
            <w:top w:w="49" w:type="dxa"/>
            <w:left w:w="5" w:type="dxa"/>
            <w:bottom w:w="0" w:type="dxa"/>
            <w:right w:w="115" w:type="dxa"/>
          </w:tblCellMar>
        </w:tblPrEx>
        <w:trPr>
          <w:trHeight w:val="701" w:hRule="atLeast"/>
          <w:jc w:val="center"/>
        </w:trPr>
        <w:tc>
          <w:tcPr>
            <w:tcW w:w="4359" w:type="dxa"/>
            <w:gridSpan w:val="2"/>
            <w:tcBorders>
              <w:top w:val="single" w:color="000000" w:sz="4" w:space="0"/>
              <w:left w:val="single" w:color="000000" w:sz="4" w:space="0"/>
              <w:bottom w:val="single" w:color="000000" w:sz="4" w:space="0"/>
              <w:right w:val="single" w:color="000000" w:sz="4" w:space="0"/>
            </w:tcBorders>
            <w:vAlign w:val="center"/>
          </w:tcPr>
          <w:p w14:paraId="78BE01D1">
            <w:pPr>
              <w:keepNext w:val="0"/>
              <w:keepLines w:val="0"/>
              <w:pageBreakBefore w:val="0"/>
              <w:widowControl w:val="0"/>
              <w:tabs>
                <w:tab w:val="center" w:pos="1711"/>
              </w:tabs>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保存部门：</w:t>
            </w:r>
          </w:p>
        </w:tc>
        <w:tc>
          <w:tcPr>
            <w:tcW w:w="4364" w:type="dxa"/>
            <w:gridSpan w:val="3"/>
            <w:tcBorders>
              <w:top w:val="single" w:color="000000" w:sz="4" w:space="0"/>
              <w:left w:val="single" w:color="000000" w:sz="4" w:space="0"/>
              <w:bottom w:val="single" w:color="000000" w:sz="4" w:space="0"/>
              <w:right w:val="single" w:color="000000" w:sz="4" w:space="0"/>
            </w:tcBorders>
            <w:vAlign w:val="center"/>
          </w:tcPr>
          <w:p w14:paraId="56C83DA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保存期：</w:t>
            </w:r>
          </w:p>
        </w:tc>
      </w:tr>
    </w:tbl>
    <w:p w14:paraId="40055302">
      <w:pPr>
        <w:keepNext w:val="0"/>
        <w:keepLines w:val="0"/>
        <w:pageBreakBefore w:val="0"/>
        <w:widowControl w:val="0"/>
        <w:kinsoku/>
        <w:overflowPunct/>
        <w:topLinePunct w:val="0"/>
        <w:bidi w:val="0"/>
        <w:spacing w:line="360" w:lineRule="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br w:type="page"/>
      </w:r>
    </w:p>
    <w:p w14:paraId="0085F481">
      <w:pPr>
        <w:pStyle w:val="3"/>
        <w:bidi w:val="0"/>
        <w:rPr>
          <w:rFonts w:hint="default"/>
          <w:lang w:val="en-US" w:eastAsia="zh-CN"/>
        </w:rPr>
      </w:pPr>
      <w:bookmarkStart w:id="148" w:name="_Toc5892"/>
      <w:bookmarkStart w:id="149" w:name="_Toc28673"/>
      <w:r>
        <w:rPr>
          <w:rFonts w:hint="default"/>
          <w:lang w:val="en-US" w:eastAsia="zh-CN"/>
        </w:rPr>
        <w:t xml:space="preserve">附件 </w:t>
      </w:r>
      <w:r>
        <w:rPr>
          <w:rFonts w:hint="eastAsia"/>
          <w:lang w:val="en-US" w:eastAsia="zh-CN"/>
        </w:rPr>
        <w:t>4</w:t>
      </w:r>
      <w:r>
        <w:rPr>
          <w:rFonts w:hint="default"/>
          <w:lang w:val="en-US" w:eastAsia="zh-CN"/>
        </w:rPr>
        <w:t>：水质超标指标控制和处理技术推荐表</w:t>
      </w:r>
      <w:bookmarkEnd w:id="148"/>
      <w:bookmarkEnd w:id="149"/>
      <w:r>
        <w:rPr>
          <w:rFonts w:hint="default"/>
          <w:lang w:val="en-US" w:eastAsia="zh-CN"/>
        </w:rPr>
        <w:t xml:space="preserve"> </w:t>
      </w:r>
    </w:p>
    <w:tbl>
      <w:tblPr>
        <w:tblStyle w:val="26"/>
        <w:tblW w:w="8519" w:type="dxa"/>
        <w:tblInd w:w="-202" w:type="dxa"/>
        <w:tblLayout w:type="autofit"/>
        <w:tblCellMar>
          <w:top w:w="77" w:type="dxa"/>
          <w:left w:w="106" w:type="dxa"/>
          <w:bottom w:w="0" w:type="dxa"/>
          <w:right w:w="80" w:type="dxa"/>
        </w:tblCellMar>
      </w:tblPr>
      <w:tblGrid>
        <w:gridCol w:w="960"/>
        <w:gridCol w:w="2017"/>
        <w:gridCol w:w="5542"/>
      </w:tblGrid>
      <w:tr w14:paraId="0F664528">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6371418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eastAsia="zh-CN"/>
              </w:rPr>
            </w:pPr>
            <w:r>
              <w:rPr>
                <w:rFonts w:hint="default" w:ascii="Times New Roman" w:hAnsi="Times New Roman" w:eastAsia="仿宋" w:cs="Times New Roman"/>
                <w:b/>
                <w:bCs/>
                <w:sz w:val="21"/>
                <w:szCs w:val="21"/>
              </w:rPr>
              <w:t>序号</w:t>
            </w:r>
          </w:p>
        </w:tc>
        <w:tc>
          <w:tcPr>
            <w:tcW w:w="2017" w:type="dxa"/>
            <w:tcBorders>
              <w:top w:val="single" w:color="000000" w:sz="4" w:space="0"/>
              <w:left w:val="single" w:color="000000" w:sz="4" w:space="0"/>
              <w:bottom w:val="single" w:color="000000" w:sz="4" w:space="0"/>
              <w:right w:val="single" w:color="000000" w:sz="4" w:space="0"/>
            </w:tcBorders>
            <w:vAlign w:val="center"/>
          </w:tcPr>
          <w:p w14:paraId="198ED04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eastAsia="zh-CN"/>
              </w:rPr>
            </w:pPr>
            <w:r>
              <w:rPr>
                <w:rFonts w:hint="default" w:ascii="Times New Roman" w:hAnsi="Times New Roman" w:eastAsia="仿宋" w:cs="Times New Roman"/>
                <w:b/>
                <w:bCs/>
                <w:sz w:val="21"/>
                <w:szCs w:val="21"/>
              </w:rPr>
              <w:t>超标指标</w:t>
            </w:r>
          </w:p>
        </w:tc>
        <w:tc>
          <w:tcPr>
            <w:tcW w:w="5543" w:type="dxa"/>
            <w:tcBorders>
              <w:top w:val="single" w:color="000000" w:sz="4" w:space="0"/>
              <w:left w:val="single" w:color="000000" w:sz="4" w:space="0"/>
              <w:bottom w:val="single" w:color="000000" w:sz="4" w:space="0"/>
              <w:right w:val="single" w:color="000000" w:sz="4" w:space="0"/>
            </w:tcBorders>
            <w:vAlign w:val="center"/>
          </w:tcPr>
          <w:p w14:paraId="172FCD8B">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b/>
                <w:bCs/>
                <w:sz w:val="21"/>
                <w:szCs w:val="21"/>
                <w:lang w:eastAsia="zh-CN"/>
              </w:rPr>
            </w:pPr>
            <w:r>
              <w:rPr>
                <w:rFonts w:hint="default" w:ascii="Times New Roman" w:hAnsi="Times New Roman" w:eastAsia="仿宋" w:cs="Times New Roman"/>
                <w:b/>
                <w:bCs/>
                <w:sz w:val="21"/>
                <w:szCs w:val="21"/>
              </w:rPr>
              <w:t>控制和处理技术</w:t>
            </w:r>
          </w:p>
        </w:tc>
      </w:tr>
      <w:tr w14:paraId="31FDF0AE">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54191E27">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1</w:t>
            </w:r>
          </w:p>
        </w:tc>
        <w:tc>
          <w:tcPr>
            <w:tcW w:w="2017" w:type="dxa"/>
            <w:tcBorders>
              <w:top w:val="single" w:color="000000" w:sz="4" w:space="0"/>
              <w:left w:val="single" w:color="000000" w:sz="4" w:space="0"/>
              <w:bottom w:val="single" w:color="000000" w:sz="4" w:space="0"/>
              <w:right w:val="single" w:color="000000" w:sz="4" w:space="0"/>
            </w:tcBorders>
            <w:vAlign w:val="center"/>
          </w:tcPr>
          <w:p w14:paraId="5CDA7CD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浊度</w:t>
            </w:r>
          </w:p>
        </w:tc>
        <w:tc>
          <w:tcPr>
            <w:tcW w:w="5543" w:type="dxa"/>
            <w:tcBorders>
              <w:top w:val="single" w:color="000000" w:sz="4" w:space="0"/>
              <w:left w:val="single" w:color="000000" w:sz="4" w:space="0"/>
              <w:bottom w:val="single" w:color="000000" w:sz="4" w:space="0"/>
              <w:right w:val="single" w:color="000000" w:sz="4" w:space="0"/>
            </w:tcBorders>
            <w:vAlign w:val="center"/>
          </w:tcPr>
          <w:p w14:paraId="1A8CA99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快速砂滤池、絮凝、沉淀、过滤</w:t>
            </w:r>
          </w:p>
        </w:tc>
      </w:tr>
      <w:tr w14:paraId="19B48BFE">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5902344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2</w:t>
            </w:r>
          </w:p>
        </w:tc>
        <w:tc>
          <w:tcPr>
            <w:tcW w:w="2017" w:type="dxa"/>
            <w:tcBorders>
              <w:top w:val="single" w:color="000000" w:sz="4" w:space="0"/>
              <w:left w:val="single" w:color="000000" w:sz="4" w:space="0"/>
              <w:bottom w:val="single" w:color="000000" w:sz="4" w:space="0"/>
              <w:right w:val="single" w:color="000000" w:sz="4" w:space="0"/>
            </w:tcBorders>
            <w:vAlign w:val="center"/>
          </w:tcPr>
          <w:p w14:paraId="26700BA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色度</w:t>
            </w:r>
          </w:p>
        </w:tc>
        <w:tc>
          <w:tcPr>
            <w:tcW w:w="5543" w:type="dxa"/>
            <w:tcBorders>
              <w:top w:val="single" w:color="000000" w:sz="4" w:space="0"/>
              <w:left w:val="single" w:color="000000" w:sz="4" w:space="0"/>
              <w:bottom w:val="single" w:color="000000" w:sz="4" w:space="0"/>
              <w:right w:val="single" w:color="000000" w:sz="4" w:space="0"/>
            </w:tcBorders>
            <w:vAlign w:val="center"/>
          </w:tcPr>
          <w:p w14:paraId="12F4232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快速砂滤池、絮凝；活性炭吸附；化学氧化预处理：臭氧、氯、高锰酸钾、二氧化氯</w:t>
            </w:r>
          </w:p>
        </w:tc>
      </w:tr>
      <w:tr w14:paraId="57493D1E">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0F54EF9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3</w:t>
            </w:r>
          </w:p>
        </w:tc>
        <w:tc>
          <w:tcPr>
            <w:tcW w:w="2017" w:type="dxa"/>
            <w:tcBorders>
              <w:top w:val="single" w:color="000000" w:sz="4" w:space="0"/>
              <w:left w:val="single" w:color="000000" w:sz="4" w:space="0"/>
              <w:bottom w:val="single" w:color="000000" w:sz="4" w:space="0"/>
              <w:right w:val="single" w:color="000000" w:sz="4" w:space="0"/>
            </w:tcBorders>
            <w:vAlign w:val="center"/>
          </w:tcPr>
          <w:p w14:paraId="7C49DC4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嗅味</w:t>
            </w:r>
          </w:p>
        </w:tc>
        <w:tc>
          <w:tcPr>
            <w:tcW w:w="5543" w:type="dxa"/>
            <w:tcBorders>
              <w:top w:val="single" w:color="000000" w:sz="4" w:space="0"/>
              <w:left w:val="single" w:color="000000" w:sz="4" w:space="0"/>
              <w:bottom w:val="single" w:color="000000" w:sz="4" w:space="0"/>
              <w:right w:val="single" w:color="000000" w:sz="4" w:space="0"/>
            </w:tcBorders>
            <w:vAlign w:val="center"/>
          </w:tcPr>
          <w:p w14:paraId="46EC47B0">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化学氧化预处理：臭氧、氯、高锰酸钾、二氧化氯、活性炭</w:t>
            </w:r>
          </w:p>
        </w:tc>
      </w:tr>
      <w:tr w14:paraId="012EE3C5">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0B87D04B">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4</w:t>
            </w:r>
          </w:p>
        </w:tc>
        <w:tc>
          <w:tcPr>
            <w:tcW w:w="2017" w:type="dxa"/>
            <w:tcBorders>
              <w:top w:val="single" w:color="000000" w:sz="4" w:space="0"/>
              <w:left w:val="single" w:color="000000" w:sz="4" w:space="0"/>
              <w:bottom w:val="single" w:color="000000" w:sz="4" w:space="0"/>
              <w:right w:val="single" w:color="000000" w:sz="4" w:space="0"/>
            </w:tcBorders>
            <w:vAlign w:val="center"/>
          </w:tcPr>
          <w:p w14:paraId="61BFFCF0">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氟化物</w:t>
            </w:r>
          </w:p>
        </w:tc>
        <w:tc>
          <w:tcPr>
            <w:tcW w:w="5543" w:type="dxa"/>
            <w:tcBorders>
              <w:top w:val="single" w:color="000000" w:sz="4" w:space="0"/>
              <w:left w:val="single" w:color="000000" w:sz="4" w:space="0"/>
              <w:bottom w:val="single" w:color="000000" w:sz="4" w:space="0"/>
              <w:right w:val="single" w:color="000000" w:sz="4" w:space="0"/>
            </w:tcBorders>
            <w:vAlign w:val="center"/>
          </w:tcPr>
          <w:p w14:paraId="114CC8BF">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吸附法：氧化铝、磷酸二钙；混凝沉淀法：硫酸铝、聚合氯化铝；离子交换法；电渗析法</w:t>
            </w:r>
          </w:p>
        </w:tc>
      </w:tr>
      <w:tr w14:paraId="3D8EEE2F">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66FD1D6F">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5</w:t>
            </w:r>
          </w:p>
        </w:tc>
        <w:tc>
          <w:tcPr>
            <w:tcW w:w="2017" w:type="dxa"/>
            <w:tcBorders>
              <w:top w:val="single" w:color="000000" w:sz="4" w:space="0"/>
              <w:left w:val="single" w:color="000000" w:sz="4" w:space="0"/>
              <w:bottom w:val="single" w:color="000000" w:sz="4" w:space="0"/>
              <w:right w:val="single" w:color="000000" w:sz="4" w:space="0"/>
            </w:tcBorders>
            <w:vAlign w:val="center"/>
          </w:tcPr>
          <w:p w14:paraId="716D091B">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氨氮</w:t>
            </w:r>
          </w:p>
        </w:tc>
        <w:tc>
          <w:tcPr>
            <w:tcW w:w="5543" w:type="dxa"/>
            <w:tcBorders>
              <w:top w:val="single" w:color="000000" w:sz="4" w:space="0"/>
              <w:left w:val="single" w:color="000000" w:sz="4" w:space="0"/>
              <w:bottom w:val="single" w:color="000000" w:sz="4" w:space="0"/>
              <w:right w:val="single" w:color="000000" w:sz="4" w:space="0"/>
            </w:tcBorders>
            <w:vAlign w:val="center"/>
          </w:tcPr>
          <w:p w14:paraId="63A6D27F">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化学氧化预处理：氯、高锰酸钾；深度处理：臭氧生物活性炭</w:t>
            </w:r>
          </w:p>
        </w:tc>
      </w:tr>
      <w:tr w14:paraId="21300A4D">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58F0FABA">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6</w:t>
            </w:r>
          </w:p>
        </w:tc>
        <w:tc>
          <w:tcPr>
            <w:tcW w:w="2017" w:type="dxa"/>
            <w:tcBorders>
              <w:top w:val="single" w:color="000000" w:sz="4" w:space="0"/>
              <w:left w:val="single" w:color="000000" w:sz="4" w:space="0"/>
              <w:bottom w:val="single" w:color="000000" w:sz="4" w:space="0"/>
              <w:right w:val="single" w:color="000000" w:sz="4" w:space="0"/>
            </w:tcBorders>
            <w:vAlign w:val="center"/>
          </w:tcPr>
          <w:p w14:paraId="08F013A5">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铁、锰</w:t>
            </w:r>
          </w:p>
        </w:tc>
        <w:tc>
          <w:tcPr>
            <w:tcW w:w="5543" w:type="dxa"/>
            <w:tcBorders>
              <w:top w:val="single" w:color="000000" w:sz="4" w:space="0"/>
              <w:left w:val="single" w:color="000000" w:sz="4" w:space="0"/>
              <w:bottom w:val="single" w:color="000000" w:sz="4" w:space="0"/>
              <w:right w:val="single" w:color="000000" w:sz="4" w:space="0"/>
            </w:tcBorders>
            <w:vAlign w:val="center"/>
          </w:tcPr>
          <w:p w14:paraId="066CDD06">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锰砂；化学氧化预处理：氯、高锰酸钾；深度处理：臭氧-生物活性炭</w:t>
            </w:r>
          </w:p>
        </w:tc>
      </w:tr>
      <w:tr w14:paraId="56C5277B">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1B56FA8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7</w:t>
            </w:r>
          </w:p>
        </w:tc>
        <w:tc>
          <w:tcPr>
            <w:tcW w:w="2017" w:type="dxa"/>
            <w:tcBorders>
              <w:top w:val="single" w:color="000000" w:sz="4" w:space="0"/>
              <w:left w:val="single" w:color="000000" w:sz="4" w:space="0"/>
              <w:bottom w:val="single" w:color="000000" w:sz="4" w:space="0"/>
              <w:right w:val="single" w:color="000000" w:sz="4" w:space="0"/>
            </w:tcBorders>
            <w:vAlign w:val="center"/>
          </w:tcPr>
          <w:p w14:paraId="4DB44D8F">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挥发性有机物</w:t>
            </w:r>
          </w:p>
        </w:tc>
        <w:tc>
          <w:tcPr>
            <w:tcW w:w="5543" w:type="dxa"/>
            <w:tcBorders>
              <w:top w:val="single" w:color="000000" w:sz="4" w:space="0"/>
              <w:left w:val="single" w:color="000000" w:sz="4" w:space="0"/>
              <w:bottom w:val="single" w:color="000000" w:sz="4" w:space="0"/>
              <w:right w:val="single" w:color="000000" w:sz="4" w:space="0"/>
            </w:tcBorders>
            <w:vAlign w:val="center"/>
          </w:tcPr>
          <w:p w14:paraId="350E6D61">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生物活性炭吸附</w:t>
            </w:r>
          </w:p>
        </w:tc>
      </w:tr>
      <w:tr w14:paraId="54608213">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4E4E013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8</w:t>
            </w:r>
          </w:p>
        </w:tc>
        <w:tc>
          <w:tcPr>
            <w:tcW w:w="2017" w:type="dxa"/>
            <w:tcBorders>
              <w:top w:val="single" w:color="000000" w:sz="4" w:space="0"/>
              <w:left w:val="single" w:color="000000" w:sz="4" w:space="0"/>
              <w:bottom w:val="single" w:color="000000" w:sz="4" w:space="0"/>
              <w:right w:val="single" w:color="000000" w:sz="4" w:space="0"/>
            </w:tcBorders>
            <w:vAlign w:val="center"/>
          </w:tcPr>
          <w:p w14:paraId="19D6BA66">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三氯甲烷和腐殖酸</w:t>
            </w:r>
          </w:p>
        </w:tc>
        <w:tc>
          <w:tcPr>
            <w:tcW w:w="5543" w:type="dxa"/>
            <w:tcBorders>
              <w:top w:val="single" w:color="000000" w:sz="4" w:space="0"/>
              <w:left w:val="single" w:color="000000" w:sz="4" w:space="0"/>
              <w:bottom w:val="single" w:color="000000" w:sz="4" w:space="0"/>
              <w:right w:val="single" w:color="000000" w:sz="4" w:space="0"/>
            </w:tcBorders>
            <w:vAlign w:val="center"/>
          </w:tcPr>
          <w:p w14:paraId="47C334BC">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前驱物的去除：强化混凝、粒状活性炭、生物活性炭；氯化副产物的去除：粒状活性炭</w:t>
            </w:r>
          </w:p>
        </w:tc>
      </w:tr>
      <w:tr w14:paraId="2DFA6775">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2A6AD775">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9</w:t>
            </w:r>
          </w:p>
        </w:tc>
        <w:tc>
          <w:tcPr>
            <w:tcW w:w="2017" w:type="dxa"/>
            <w:tcBorders>
              <w:top w:val="single" w:color="000000" w:sz="4" w:space="0"/>
              <w:left w:val="single" w:color="000000" w:sz="4" w:space="0"/>
              <w:bottom w:val="single" w:color="000000" w:sz="4" w:space="0"/>
              <w:right w:val="single" w:color="000000" w:sz="4" w:space="0"/>
            </w:tcBorders>
            <w:vAlign w:val="center"/>
          </w:tcPr>
          <w:p w14:paraId="4B060DD5">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有机化合物</w:t>
            </w:r>
          </w:p>
        </w:tc>
        <w:tc>
          <w:tcPr>
            <w:tcW w:w="5543" w:type="dxa"/>
            <w:tcBorders>
              <w:top w:val="single" w:color="000000" w:sz="4" w:space="0"/>
              <w:left w:val="single" w:color="000000" w:sz="4" w:space="0"/>
              <w:bottom w:val="single" w:color="000000" w:sz="4" w:space="0"/>
              <w:right w:val="single" w:color="000000" w:sz="4" w:space="0"/>
            </w:tcBorders>
            <w:vAlign w:val="center"/>
          </w:tcPr>
          <w:p w14:paraId="308297F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生物活性炭、膜处理</w:t>
            </w:r>
          </w:p>
        </w:tc>
      </w:tr>
      <w:tr w14:paraId="158BB6E6">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2A735926">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10</w:t>
            </w:r>
          </w:p>
        </w:tc>
        <w:tc>
          <w:tcPr>
            <w:tcW w:w="2017" w:type="dxa"/>
            <w:tcBorders>
              <w:top w:val="single" w:color="000000" w:sz="4" w:space="0"/>
              <w:left w:val="single" w:color="000000" w:sz="4" w:space="0"/>
              <w:bottom w:val="single" w:color="000000" w:sz="4" w:space="0"/>
              <w:right w:val="single" w:color="000000" w:sz="4" w:space="0"/>
            </w:tcBorders>
            <w:vAlign w:val="center"/>
          </w:tcPr>
          <w:p w14:paraId="717076A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细菌和病毒</w:t>
            </w:r>
          </w:p>
        </w:tc>
        <w:tc>
          <w:tcPr>
            <w:tcW w:w="5543" w:type="dxa"/>
            <w:tcBorders>
              <w:top w:val="single" w:color="000000" w:sz="4" w:space="0"/>
              <w:left w:val="single" w:color="000000" w:sz="4" w:space="0"/>
              <w:bottom w:val="single" w:color="000000" w:sz="4" w:space="0"/>
              <w:right w:val="single" w:color="000000" w:sz="4" w:space="0"/>
            </w:tcBorders>
            <w:vAlign w:val="center"/>
          </w:tcPr>
          <w:p w14:paraId="38726F9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过滤（部分去除）；消毒处理：氯、二氧化氯、臭氧、膜处理、紫外消毒</w:t>
            </w:r>
          </w:p>
        </w:tc>
      </w:tr>
      <w:tr w14:paraId="45408D06">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54DDADC0">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11</w:t>
            </w:r>
          </w:p>
        </w:tc>
        <w:tc>
          <w:tcPr>
            <w:tcW w:w="2017" w:type="dxa"/>
            <w:tcBorders>
              <w:top w:val="single" w:color="000000" w:sz="4" w:space="0"/>
              <w:left w:val="single" w:color="000000" w:sz="4" w:space="0"/>
              <w:bottom w:val="single" w:color="000000" w:sz="4" w:space="0"/>
              <w:right w:val="single" w:color="000000" w:sz="4" w:space="0"/>
            </w:tcBorders>
            <w:vAlign w:val="center"/>
          </w:tcPr>
          <w:p w14:paraId="563A032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汞、铬等部分重金属（应急状态）</w:t>
            </w:r>
          </w:p>
        </w:tc>
        <w:tc>
          <w:tcPr>
            <w:tcW w:w="5543" w:type="dxa"/>
            <w:tcBorders>
              <w:top w:val="single" w:color="000000" w:sz="4" w:space="0"/>
              <w:left w:val="single" w:color="000000" w:sz="4" w:space="0"/>
              <w:bottom w:val="single" w:color="000000" w:sz="4" w:space="0"/>
              <w:right w:val="single" w:color="000000" w:sz="4" w:space="0"/>
            </w:tcBorders>
            <w:vAlign w:val="center"/>
          </w:tcPr>
          <w:p w14:paraId="207BA4AD">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氧化法：高锰酸钾；生物活性炭吸附（部分去除）</w:t>
            </w:r>
          </w:p>
        </w:tc>
      </w:tr>
      <w:tr w14:paraId="23332AFE">
        <w:tblPrEx>
          <w:tblCellMar>
            <w:top w:w="77" w:type="dxa"/>
            <w:left w:w="106" w:type="dxa"/>
            <w:bottom w:w="0" w:type="dxa"/>
            <w:right w:w="80" w:type="dxa"/>
          </w:tblCellMar>
        </w:tblPrEx>
        <w:trPr>
          <w:trHeight w:val="624" w:hRule="atLeast"/>
        </w:trPr>
        <w:tc>
          <w:tcPr>
            <w:tcW w:w="960" w:type="dxa"/>
            <w:tcBorders>
              <w:top w:val="single" w:color="000000" w:sz="4" w:space="0"/>
              <w:left w:val="single" w:color="000000" w:sz="4" w:space="0"/>
              <w:bottom w:val="single" w:color="000000" w:sz="4" w:space="0"/>
              <w:right w:val="single" w:color="000000" w:sz="4" w:space="0"/>
            </w:tcBorders>
            <w:vAlign w:val="center"/>
          </w:tcPr>
          <w:p w14:paraId="4013642A">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12</w:t>
            </w:r>
          </w:p>
        </w:tc>
        <w:tc>
          <w:tcPr>
            <w:tcW w:w="2017" w:type="dxa"/>
            <w:tcBorders>
              <w:top w:val="single" w:color="000000" w:sz="4" w:space="0"/>
              <w:left w:val="single" w:color="000000" w:sz="4" w:space="0"/>
              <w:bottom w:val="single" w:color="000000" w:sz="4" w:space="0"/>
              <w:right w:val="single" w:color="000000" w:sz="4" w:space="0"/>
            </w:tcBorders>
            <w:vAlign w:val="center"/>
          </w:tcPr>
          <w:p w14:paraId="0BA73A14">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藻类及藻毒素</w:t>
            </w:r>
          </w:p>
        </w:tc>
        <w:tc>
          <w:tcPr>
            <w:tcW w:w="5543" w:type="dxa"/>
            <w:tcBorders>
              <w:top w:val="single" w:color="000000" w:sz="4" w:space="0"/>
              <w:left w:val="single" w:color="000000" w:sz="4" w:space="0"/>
              <w:bottom w:val="single" w:color="000000" w:sz="4" w:space="0"/>
              <w:right w:val="single" w:color="000000" w:sz="4" w:space="0"/>
            </w:tcBorders>
            <w:vAlign w:val="center"/>
          </w:tcPr>
          <w:p w14:paraId="2D0BAC46">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化学氧化预处理：除藻剂法、高锰酸钾、氯；微滤法；气浮法；臭氧氧化法</w:t>
            </w:r>
          </w:p>
        </w:tc>
      </w:tr>
    </w:tbl>
    <w:p w14:paraId="2572D314">
      <w:pPr>
        <w:keepNext w:val="0"/>
        <w:keepLines w:val="0"/>
        <w:pageBreakBefore w:val="0"/>
        <w:widowControl w:val="0"/>
        <w:kinsoku/>
        <w:overflowPunct/>
        <w:topLinePunct w:val="0"/>
        <w:bidi w:val="0"/>
        <w:spacing w:after="0" w:line="360" w:lineRule="auto"/>
        <w:ind w:left="-1688" w:right="645" w:firstLine="0"/>
        <w:rPr>
          <w:rFonts w:hint="default" w:ascii="Times New Roman" w:hAnsi="Times New Roman" w:eastAsia="仿宋" w:cs="Times New Roman"/>
          <w:sz w:val="28"/>
          <w:szCs w:val="28"/>
        </w:rPr>
      </w:pPr>
    </w:p>
    <w:p w14:paraId="40E132AD">
      <w:pPr>
        <w:keepNext w:val="0"/>
        <w:keepLines w:val="0"/>
        <w:pageBreakBefore w:val="0"/>
        <w:widowControl w:val="0"/>
        <w:kinsoku/>
        <w:overflowPunct/>
        <w:topLinePunct w:val="0"/>
        <w:bidi w:val="0"/>
        <w:spacing w:line="360" w:lineRule="auto"/>
        <w:rPr>
          <w:rFonts w:hint="default" w:ascii="Times New Roman" w:hAnsi="Times New Roman" w:eastAsia="仿宋" w:cs="Times New Roman"/>
          <w:sz w:val="28"/>
          <w:szCs w:val="28"/>
        </w:rPr>
        <w:sectPr>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pPr>
    </w:p>
    <w:p w14:paraId="151EEF2C">
      <w:pPr>
        <w:pStyle w:val="3"/>
        <w:bidi w:val="0"/>
        <w:rPr>
          <w:rFonts w:hint="default"/>
          <w:lang w:val="en-US" w:eastAsia="zh-CN"/>
        </w:rPr>
      </w:pPr>
      <w:bookmarkStart w:id="150" w:name="_Toc270"/>
      <w:bookmarkStart w:id="151" w:name="_Toc11272"/>
      <w:bookmarkStart w:id="152" w:name="_Toc16088"/>
      <w:r>
        <w:rPr>
          <w:rFonts w:hint="default"/>
          <w:lang w:val="en-US" w:eastAsia="zh-CN"/>
        </w:rPr>
        <w:t xml:space="preserve">附件 </w:t>
      </w:r>
      <w:r>
        <w:rPr>
          <w:rFonts w:hint="eastAsia"/>
          <w:lang w:val="en-US" w:eastAsia="zh-CN"/>
        </w:rPr>
        <w:t>5</w:t>
      </w:r>
      <w:r>
        <w:rPr>
          <w:rFonts w:hint="default"/>
          <w:lang w:val="en-US" w:eastAsia="zh-CN"/>
        </w:rPr>
        <w:t>：常见化学品引发水污染事故的简要处置方法</w:t>
      </w:r>
      <w:bookmarkEnd w:id="150"/>
      <w:bookmarkEnd w:id="151"/>
      <w:r>
        <w:rPr>
          <w:rFonts w:hint="default"/>
          <w:lang w:val="en-US" w:eastAsia="zh-CN"/>
        </w:rPr>
        <w:t xml:space="preserve"> </w:t>
      </w:r>
    </w:p>
    <w:tbl>
      <w:tblPr>
        <w:tblStyle w:val="26"/>
        <w:tblW w:w="14578" w:type="dxa"/>
        <w:jc w:val="center"/>
        <w:tblLayout w:type="autofit"/>
        <w:tblCellMar>
          <w:top w:w="77" w:type="dxa"/>
          <w:left w:w="0" w:type="dxa"/>
          <w:bottom w:w="0" w:type="dxa"/>
          <w:right w:w="0" w:type="dxa"/>
        </w:tblCellMar>
      </w:tblPr>
      <w:tblGrid>
        <w:gridCol w:w="615"/>
        <w:gridCol w:w="756"/>
        <w:gridCol w:w="2441"/>
        <w:gridCol w:w="5271"/>
        <w:gridCol w:w="5495"/>
      </w:tblGrid>
      <w:tr w14:paraId="2E8904D8">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vAlign w:val="center"/>
          </w:tcPr>
          <w:p w14:paraId="073ADCA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序号</w:t>
            </w:r>
          </w:p>
        </w:tc>
        <w:tc>
          <w:tcPr>
            <w:tcW w:w="756" w:type="dxa"/>
            <w:tcBorders>
              <w:top w:val="single" w:color="000000" w:sz="4" w:space="0"/>
              <w:left w:val="single" w:color="000000" w:sz="4" w:space="0"/>
              <w:bottom w:val="single" w:color="000000" w:sz="4" w:space="0"/>
              <w:right w:val="single" w:color="000000" w:sz="4" w:space="0"/>
            </w:tcBorders>
            <w:vAlign w:val="center"/>
          </w:tcPr>
          <w:p w14:paraId="049F74A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污染物类别</w:t>
            </w:r>
          </w:p>
        </w:tc>
        <w:tc>
          <w:tcPr>
            <w:tcW w:w="2441" w:type="dxa"/>
            <w:tcBorders>
              <w:top w:val="single" w:color="000000" w:sz="4" w:space="0"/>
              <w:left w:val="single" w:color="000000" w:sz="4" w:space="0"/>
              <w:bottom w:val="single" w:color="000000" w:sz="4" w:space="0"/>
              <w:right w:val="single" w:color="000000" w:sz="4" w:space="0"/>
            </w:tcBorders>
            <w:vAlign w:val="center"/>
          </w:tcPr>
          <w:p w14:paraId="20CE67A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代表物质</w:t>
            </w:r>
          </w:p>
        </w:tc>
        <w:tc>
          <w:tcPr>
            <w:tcW w:w="5271" w:type="dxa"/>
            <w:tcBorders>
              <w:top w:val="single" w:color="000000" w:sz="4" w:space="0"/>
              <w:left w:val="single" w:color="000000" w:sz="4" w:space="0"/>
              <w:bottom w:val="single" w:color="000000" w:sz="4" w:space="0"/>
              <w:right w:val="single" w:color="000000" w:sz="4" w:space="0"/>
            </w:tcBorders>
            <w:vAlign w:val="center"/>
          </w:tcPr>
          <w:p w14:paraId="0893D64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物质特性</w:t>
            </w:r>
          </w:p>
        </w:tc>
        <w:tc>
          <w:tcPr>
            <w:tcW w:w="5495" w:type="dxa"/>
            <w:tcBorders>
              <w:top w:val="single" w:color="000000" w:sz="4" w:space="0"/>
              <w:left w:val="single" w:color="000000" w:sz="4" w:space="0"/>
              <w:bottom w:val="single" w:color="000000" w:sz="4" w:space="0"/>
              <w:right w:val="single" w:color="000000" w:sz="4" w:space="0"/>
            </w:tcBorders>
            <w:vAlign w:val="center"/>
          </w:tcPr>
          <w:p w14:paraId="381359D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应急处置</w:t>
            </w:r>
          </w:p>
        </w:tc>
      </w:tr>
      <w:tr w14:paraId="0FE47030">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vAlign w:val="center"/>
          </w:tcPr>
          <w:p w14:paraId="55CD2C2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w:t>
            </w:r>
          </w:p>
        </w:tc>
        <w:tc>
          <w:tcPr>
            <w:tcW w:w="756" w:type="dxa"/>
            <w:tcBorders>
              <w:top w:val="single" w:color="000000" w:sz="4" w:space="0"/>
              <w:left w:val="single" w:color="000000" w:sz="4" w:space="0"/>
              <w:bottom w:val="single" w:color="000000" w:sz="4" w:space="0"/>
              <w:right w:val="single" w:color="000000" w:sz="4" w:space="0"/>
            </w:tcBorders>
            <w:vAlign w:val="center"/>
          </w:tcPr>
          <w:p w14:paraId="0567895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重金属类</w:t>
            </w:r>
          </w:p>
        </w:tc>
        <w:tc>
          <w:tcPr>
            <w:tcW w:w="2441" w:type="dxa"/>
            <w:tcBorders>
              <w:top w:val="single" w:color="000000" w:sz="4" w:space="0"/>
              <w:left w:val="single" w:color="000000" w:sz="4" w:space="0"/>
              <w:bottom w:val="single" w:color="000000" w:sz="4" w:space="0"/>
              <w:right w:val="single" w:color="000000" w:sz="4" w:space="0"/>
            </w:tcBorders>
            <w:vAlign w:val="center"/>
          </w:tcPr>
          <w:p w14:paraId="4F751D2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汞及汞盐、铅盐、锡盐类、铬盐等。</w:t>
            </w:r>
          </w:p>
        </w:tc>
        <w:tc>
          <w:tcPr>
            <w:tcW w:w="5271" w:type="dxa"/>
            <w:tcBorders>
              <w:top w:val="single" w:color="000000" w:sz="4" w:space="0"/>
              <w:left w:val="single" w:color="000000" w:sz="4" w:space="0"/>
              <w:bottom w:val="single" w:color="000000" w:sz="4" w:space="0"/>
              <w:right w:val="single" w:color="000000" w:sz="4" w:space="0"/>
            </w:tcBorders>
            <w:vAlign w:val="center"/>
          </w:tcPr>
          <w:p w14:paraId="54ACCDA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汞为液体金属，其余均为结晶盐类，铬盐和铅往往有鲜亮的颜色。该类物质多数具有较强毒性，在自然环境中不降解，并能随食物链逐渐富集，形成急性或蓄积类水污染事故。</w:t>
            </w:r>
          </w:p>
        </w:tc>
        <w:tc>
          <w:tcPr>
            <w:tcW w:w="5495" w:type="dxa"/>
            <w:tcBorders>
              <w:top w:val="single" w:color="000000" w:sz="4" w:space="0"/>
              <w:left w:val="single" w:color="000000" w:sz="4" w:space="0"/>
              <w:bottom w:val="single" w:color="000000" w:sz="4" w:space="0"/>
              <w:right w:val="single" w:color="000000" w:sz="4" w:space="0"/>
            </w:tcBorders>
            <w:vAlign w:val="center"/>
          </w:tcPr>
          <w:p w14:paraId="57834A0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关闭闸门或筑坝围隔污染区，在污染区投加生石灰沉淀重金属离子，排干上清液后将底质移除到安全地方水泥固化后填埋。汞泄漏后应急人员应佩戴防护用具，尽量将泄漏汞收集到安全地方处理，无法收集的现场用硫磺粉覆盖处理。</w:t>
            </w:r>
          </w:p>
        </w:tc>
      </w:tr>
      <w:tr w14:paraId="60A2F958">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vAlign w:val="center"/>
          </w:tcPr>
          <w:p w14:paraId="4AA2F58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w:t>
            </w:r>
          </w:p>
        </w:tc>
        <w:tc>
          <w:tcPr>
            <w:tcW w:w="756" w:type="dxa"/>
            <w:tcBorders>
              <w:top w:val="single" w:color="000000" w:sz="4" w:space="0"/>
              <w:left w:val="single" w:color="000000" w:sz="4" w:space="0"/>
              <w:bottom w:val="single" w:color="000000" w:sz="4" w:space="0"/>
              <w:right w:val="single" w:color="000000" w:sz="4" w:space="0"/>
            </w:tcBorders>
            <w:vAlign w:val="center"/>
          </w:tcPr>
          <w:p w14:paraId="4C151D1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氰化物</w:t>
            </w:r>
          </w:p>
        </w:tc>
        <w:tc>
          <w:tcPr>
            <w:tcW w:w="2441" w:type="dxa"/>
            <w:tcBorders>
              <w:top w:val="single" w:color="000000" w:sz="4" w:space="0"/>
              <w:left w:val="single" w:color="000000" w:sz="4" w:space="0"/>
              <w:bottom w:val="single" w:color="000000" w:sz="4" w:space="0"/>
              <w:right w:val="single" w:color="000000" w:sz="4" w:space="0"/>
            </w:tcBorders>
            <w:vAlign w:val="center"/>
          </w:tcPr>
          <w:p w14:paraId="4029561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氰化钾、氰化钠和氰化氢的水溶液。</w:t>
            </w:r>
          </w:p>
        </w:tc>
        <w:tc>
          <w:tcPr>
            <w:tcW w:w="5271" w:type="dxa"/>
            <w:tcBorders>
              <w:top w:val="single" w:color="000000" w:sz="4" w:space="0"/>
              <w:left w:val="single" w:color="000000" w:sz="4" w:space="0"/>
              <w:bottom w:val="single" w:color="000000" w:sz="4" w:space="0"/>
              <w:right w:val="single" w:color="000000" w:sz="4" w:space="0"/>
            </w:tcBorders>
            <w:vAlign w:val="center"/>
          </w:tcPr>
          <w:p w14:paraId="6D89336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氰化钾、氰化钠为白色结晶粉末，易潮解，易溶于水，用于冶金和电镀行业，常以水溶液罐车运输。氰化氢常温下为液体易挥发，有苦杏仁味。该类物质呈现剧毒，能抑制呼吸酶，对底栖动物、鱼类、两栖动物、哺乳动物等均呈高毒。</w:t>
            </w:r>
          </w:p>
        </w:tc>
        <w:tc>
          <w:tcPr>
            <w:tcW w:w="5495" w:type="dxa"/>
            <w:tcBorders>
              <w:top w:val="single" w:color="000000" w:sz="4" w:space="0"/>
              <w:left w:val="single" w:color="000000" w:sz="4" w:space="0"/>
              <w:bottom w:val="single" w:color="000000" w:sz="4" w:space="0"/>
              <w:right w:val="single" w:color="000000" w:sz="4" w:space="0"/>
            </w:tcBorders>
            <w:vAlign w:val="center"/>
          </w:tcPr>
          <w:p w14:paraId="07B8D56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应急处置人员须佩带全身防护用具，尽可能围隔污染区，在污染区加过量漂白粉处置，一般 24 小时可氧化完全。</w:t>
            </w:r>
          </w:p>
        </w:tc>
      </w:tr>
      <w:tr w14:paraId="0BDE571B">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vAlign w:val="center"/>
          </w:tcPr>
          <w:p w14:paraId="4FF970E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3</w:t>
            </w:r>
          </w:p>
        </w:tc>
        <w:tc>
          <w:tcPr>
            <w:tcW w:w="756" w:type="dxa"/>
            <w:tcBorders>
              <w:top w:val="single" w:color="000000" w:sz="4" w:space="0"/>
              <w:left w:val="single" w:color="000000" w:sz="4" w:space="0"/>
              <w:bottom w:val="single" w:color="000000" w:sz="4" w:space="0"/>
              <w:right w:val="single" w:color="000000" w:sz="4" w:space="0"/>
            </w:tcBorders>
            <w:vAlign w:val="center"/>
          </w:tcPr>
          <w:p w14:paraId="5DC0410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氟化物</w:t>
            </w:r>
          </w:p>
        </w:tc>
        <w:tc>
          <w:tcPr>
            <w:tcW w:w="2441" w:type="dxa"/>
            <w:tcBorders>
              <w:top w:val="single" w:color="000000" w:sz="4" w:space="0"/>
              <w:left w:val="single" w:color="000000" w:sz="4" w:space="0"/>
              <w:bottom w:val="single" w:color="000000" w:sz="4" w:space="0"/>
              <w:right w:val="single" w:color="000000" w:sz="4" w:space="0"/>
            </w:tcBorders>
            <w:vAlign w:val="center"/>
          </w:tcPr>
          <w:p w14:paraId="7632703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氟化钠、氢氟酸等。</w:t>
            </w:r>
          </w:p>
        </w:tc>
        <w:tc>
          <w:tcPr>
            <w:tcW w:w="5271" w:type="dxa"/>
            <w:tcBorders>
              <w:top w:val="single" w:color="000000" w:sz="4" w:space="0"/>
              <w:left w:val="single" w:color="000000" w:sz="4" w:space="0"/>
              <w:bottom w:val="single" w:color="000000" w:sz="4" w:space="0"/>
              <w:right w:val="single" w:color="000000" w:sz="4" w:space="0"/>
            </w:tcBorders>
            <w:vAlign w:val="center"/>
          </w:tcPr>
          <w:p w14:paraId="7A6E6B0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氟化钠为白色粉末，无味。氢氟酸为无色有刺激臭味的液体。该类物质易溶于水，高毒，并且容易在酸性环境中挥发氟化氢气体毒害呼吸系统。在自然环境中容易和金属离子形成络合物而降低毒性</w:t>
            </w:r>
          </w:p>
        </w:tc>
        <w:tc>
          <w:tcPr>
            <w:tcW w:w="5495" w:type="dxa"/>
            <w:tcBorders>
              <w:top w:val="single" w:color="000000" w:sz="4" w:space="0"/>
              <w:left w:val="single" w:color="000000" w:sz="4" w:space="0"/>
              <w:bottom w:val="single" w:color="000000" w:sz="4" w:space="0"/>
              <w:right w:val="single" w:color="000000" w:sz="4" w:space="0"/>
            </w:tcBorders>
            <w:vAlign w:val="center"/>
          </w:tcPr>
          <w:p w14:paraId="16CF697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关闭闸门或筑坝围隔污染区，应急处置人员须带全身防护用具。在污染水体中加人过量生石灰沉淀氟离子，并投加明矾加快沉淀速度。沉淀完全后将上清液排放，铲除底质，并转移到安全地方处置。</w:t>
            </w:r>
          </w:p>
        </w:tc>
      </w:tr>
      <w:tr w14:paraId="4F14164C">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4C66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zh-CN" w:eastAsia="zh-CN" w:bidi="zh-CN"/>
              </w:rPr>
            </w:pPr>
            <w:r>
              <w:rPr>
                <w:rFonts w:hint="default" w:ascii="Times New Roman" w:hAnsi="Times New Roman" w:eastAsia="仿宋" w:cs="Times New Roman"/>
                <w:sz w:val="24"/>
                <w:szCs w:val="24"/>
              </w:rPr>
              <w:t>4</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31F3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zh-CN" w:eastAsia="zh-CN" w:bidi="zh-CN"/>
              </w:rPr>
            </w:pPr>
            <w:r>
              <w:rPr>
                <w:rFonts w:hint="default" w:ascii="Times New Roman" w:hAnsi="Times New Roman" w:eastAsia="仿宋" w:cs="Times New Roman"/>
                <w:sz w:val="24"/>
                <w:szCs w:val="24"/>
              </w:rPr>
              <w:t>金属酸酐</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6316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zh-CN" w:eastAsia="zh-CN" w:bidi="zh-CN"/>
              </w:rPr>
            </w:pPr>
            <w:r>
              <w:rPr>
                <w:rFonts w:hint="default" w:ascii="Times New Roman" w:hAnsi="Times New Roman" w:eastAsia="仿宋" w:cs="Times New Roman"/>
                <w:sz w:val="24"/>
                <w:szCs w:val="24"/>
              </w:rPr>
              <w:t>砒霜（三氧化二砷）和铬酸酐（三氧化铬）。</w:t>
            </w:r>
          </w:p>
        </w:tc>
        <w:tc>
          <w:tcPr>
            <w:tcW w:w="5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C7F0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zh-CN" w:eastAsia="zh-CN" w:bidi="zh-CN"/>
              </w:rPr>
            </w:pPr>
            <w:r>
              <w:rPr>
                <w:rFonts w:hint="default" w:ascii="Times New Roman" w:hAnsi="Times New Roman" w:eastAsia="仿宋" w:cs="Times New Roman"/>
                <w:sz w:val="24"/>
                <w:szCs w:val="24"/>
              </w:rPr>
              <w:t>砒霜为无色无味白色粉末，微溶于水。铬酸矸为紫红色斜方晶体，易潮解。两种物质均在水中有一定的溶解度，呈现高毒性，可毒害呼吸系统、神经系统和循环系统，并能在动物体内可以富集，造成二次中毒。</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D3BFB">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color w:val="000000"/>
                <w:kern w:val="2"/>
                <w:sz w:val="24"/>
                <w:szCs w:val="24"/>
                <w:lang w:val="zh-CN" w:eastAsia="zh-CN" w:bidi="zh-CN"/>
              </w:rPr>
            </w:pPr>
            <w:r>
              <w:rPr>
                <w:rFonts w:hint="default" w:ascii="Times New Roman" w:hAnsi="Times New Roman" w:eastAsia="仿宋" w:cs="Times New Roman"/>
                <w:sz w:val="24"/>
                <w:szCs w:val="24"/>
              </w:rPr>
              <w:t>关闭闸门或筑坝围隔污染区，投放石灰和明矾沉淀，沉淀完全后将上清液转移到安全地方，用草酸钠还原后排放。清除底泥中的沉淀物，用水泥固化后深埋。</w:t>
            </w:r>
          </w:p>
        </w:tc>
      </w:tr>
      <w:tr w14:paraId="6F274B65">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5738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5</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D68E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苯类化合物</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AE21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苯、甲苯、乙苯、二甲苯、苯乙烯、硝基苯等。</w:t>
            </w:r>
          </w:p>
        </w:tc>
        <w:tc>
          <w:tcPr>
            <w:tcW w:w="5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9180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油状液体，有特殊芳香味，易挥发，除取代苯外，密度一般小于水。该类物质是神经和循环系统毒剂，对人体有致癌作用，不溶或微溶于水，扩散速度快。</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9C74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应急处置人员应戴全身防护用具，筑坝或用围油栏围隔污染区，注意防火。污染区用吸油绵等高吸油材料现场吸附，转移到安全地方焚烧处理。污染水体最终用活性炭吸附处理。</w:t>
            </w:r>
          </w:p>
        </w:tc>
      </w:tr>
      <w:tr w14:paraId="58DF7157">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C55C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6</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5AC5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卤代烃</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0A9B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乙烯、四氯化碳、三氯甲烷、氯苯。</w:t>
            </w:r>
          </w:p>
        </w:tc>
        <w:tc>
          <w:tcPr>
            <w:tcW w:w="5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7358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均为油状液体，易挥发，不溶于水，密度一般大于水，燃烧时有刺激性气体放出。该类物质遇水稳定，对眼睛、皮肤、呼吸道等有刺激作用，对人体有致癌作用。多元取代物密度往往大于水，沉于水底造成持久危害</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EA05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应急人员应佩带全身防护用具。筑坝围隔污染区，污染水体投加活性炭吸附处理。用活性炭、吸油棉</w:t>
            </w:r>
          </w:p>
          <w:p w14:paraId="1A5788D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等高吸油材料等现场吸附积水中的污染物，彻底清除后送到安全地方处理。</w:t>
            </w:r>
          </w:p>
        </w:tc>
      </w:tr>
      <w:tr w14:paraId="0C3704CA">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668F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7</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B529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酚类</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18D7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苯酚、间甲酚、对硝基苯酚、氯苯酚、三氯酚、五氯酚等。</w:t>
            </w:r>
          </w:p>
        </w:tc>
        <w:tc>
          <w:tcPr>
            <w:tcW w:w="5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B04E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多为白色结晶或油状液体，有特殊气味，不溶或微溶于水，密度一般大于水。该类物质一般具有较高的毒性，能刺激皮肤和消化道，在水中降解速度慢，有致癌和致畸作用。</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D6D4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应急处置人员应佩带全身防护用具。筑坝或用围油栏围隔污染区后，用吸油棉等高吸油材料现场吸附残留泄漏物，转移到安全地方处理。污染水体投加生石灰漂白粉沉淀和促进降解，最后投加活性炭吸附处理。</w:t>
            </w:r>
          </w:p>
        </w:tc>
      </w:tr>
      <w:tr w14:paraId="620D9896">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E6E5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8</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E0A0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农药类</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AE9E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有机磷农药(甲胺磷、敌敌畏、敌百虫、乐果、氧化乐果、对硫磷、甲基对硫磷、马拉硫磷、苯硫磷、倍硫磷等，多用作杀虫剂)、氨基甲酸醋农药(吠喃丹、抗蚜威、速灭威、灭多威、丙硫威等， 多用于杀虫剂和抗菌剂)、拟除虫菊醋类农药(氟氰菊醋、澳氰菊醋、抓氛菊醋、杀灭菊醋，多用作杀虫剂)等。</w:t>
            </w:r>
          </w:p>
        </w:tc>
        <w:tc>
          <w:tcPr>
            <w:tcW w:w="5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55FB2">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000000"/>
                <w:kern w:val="2"/>
                <w:sz w:val="24"/>
                <w:szCs w:val="24"/>
                <w:lang w:val="zh-CN" w:eastAsia="zh-CN" w:bidi="zh-CN"/>
              </w:rPr>
              <w:t>（</w:t>
            </w:r>
            <w:r>
              <w:rPr>
                <w:rFonts w:hint="default" w:ascii="Times New Roman" w:hAnsi="Times New Roman" w:eastAsia="仿宋" w:cs="Times New Roman"/>
                <w:color w:val="000000"/>
                <w:kern w:val="2"/>
                <w:sz w:val="24"/>
                <w:szCs w:val="24"/>
                <w:lang w:val="en-US" w:eastAsia="zh-CN" w:bidi="zh-CN"/>
              </w:rPr>
              <w:t>1</w:t>
            </w:r>
            <w:r>
              <w:rPr>
                <w:rFonts w:hint="default" w:ascii="Times New Roman" w:hAnsi="Times New Roman" w:eastAsia="仿宋" w:cs="Times New Roman"/>
                <w:color w:val="000000"/>
                <w:kern w:val="2"/>
                <w:sz w:val="24"/>
                <w:szCs w:val="24"/>
                <w:lang w:val="zh-CN" w:eastAsia="zh-CN" w:bidi="zh-CN"/>
              </w:rPr>
              <w:t>）</w:t>
            </w:r>
            <w:r>
              <w:rPr>
                <w:rFonts w:hint="default" w:ascii="Times New Roman" w:hAnsi="Times New Roman" w:eastAsia="仿宋" w:cs="Times New Roman"/>
                <w:sz w:val="24"/>
                <w:szCs w:val="24"/>
              </w:rPr>
              <w:t>有机磷农药多数品种为油状液体，不溶于水，密度大于水，具有类似大蒜样特殊臭味，一般制成乳油使用。多为剧毒农药，通过消化道、呼吸道及皮肤吸收，对人及类高毒。</w:t>
            </w:r>
          </w:p>
          <w:p w14:paraId="15B65E58">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lang w:val="en-US" w:eastAsia="zh-CN"/>
              </w:rPr>
              <w:t>2</w:t>
            </w: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rPr>
              <w:t>氨基甲酸醋农药有喃丹、抗蚜威、速灭威灭多威、丙硫威等，多用于杀虫剂和抗菌剂。多为结晶粉末状，微溶于水，无气味或气味弱。多为剧毒农药，通过消化道、呼吸道及皮肤吸收。</w:t>
            </w:r>
          </w:p>
          <w:p w14:paraId="4E559396">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Chars="0" w:right="0" w:right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lang w:val="en-US" w:eastAsia="zh-CN"/>
              </w:rPr>
              <w:t>3</w:t>
            </w: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rPr>
              <w:t>拟除虫菊醋类农药有氣氰菊醋、澳氰菊醋、抓氛菊醋杀灭菊醋，多用作杀虫剂。一般为微黄色油状粘稠液体，不溶于水，溶于常用有机溶剂。是高效低残留杀虫剂，对鱼类高毒，对人类中等毒性，能损害神经、肝、肾等器官</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1441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人员应配戴全身防护用具。关闭闸门或筑坝围隔污染区用活性炭吸收未溶的农药，收集到安全场所用碱性溶液无害化处理。对污染区用生石灰或漂自粉处置，破坏农药的致毒基团，达到解毒的目的。最后用活性炭进行吸附处理。</w:t>
            </w:r>
          </w:p>
        </w:tc>
      </w:tr>
      <w:tr w14:paraId="7998085E">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A9DD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9</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CD4E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矿物油类</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5081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汽油、煤油、柴油、机油、煤焦油、原油等。</w:t>
            </w:r>
          </w:p>
        </w:tc>
        <w:tc>
          <w:tcPr>
            <w:tcW w:w="5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1103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一般为油状液体，不溶或微溶于水。煤焦油呈膏状，有特殊臭味，密度大于水。该类物质易燃烧，扩散速度快，易在水面形成污染带，绝水气界面，</w:t>
            </w:r>
          </w:p>
          <w:p w14:paraId="2D20E5C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造成水体缺氧。煤焦油沉在水底级慢溶解，对水体造成长久危害，并具有腐蚀性。</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91CE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处置时可关闭闸门或用简易坝、围油栏等围隔污染区，用吸油棉等高吸油材料现场吸附，并转移到安全地方焚烧处理。必要时可点燃表层油燃烧处理，污染水体最后用活性炭吸附处理。煤焦油由于其中含有大量的酚类物质，其处置过程可参考酚类物质。</w:t>
            </w:r>
          </w:p>
        </w:tc>
      </w:tr>
      <w:tr w14:paraId="18C85953">
        <w:tblPrEx>
          <w:tblCellMar>
            <w:top w:w="77" w:type="dxa"/>
            <w:left w:w="0" w:type="dxa"/>
            <w:bottom w:w="0" w:type="dxa"/>
            <w:right w:w="0" w:type="dxa"/>
          </w:tblCellMar>
        </w:tblPrEx>
        <w:trPr>
          <w:trHeight w:val="23" w:hRule="atLeast"/>
          <w:tblHeader/>
          <w:jc w:val="center"/>
        </w:trPr>
        <w:tc>
          <w:tcPr>
            <w:tcW w:w="615" w:type="dxa"/>
            <w:vMerge w:val="restart"/>
            <w:tcBorders>
              <w:top w:val="single" w:color="000000" w:sz="4" w:space="0"/>
              <w:left w:val="single" w:color="000000" w:sz="4" w:space="0"/>
              <w:right w:val="single" w:color="000000" w:sz="4" w:space="0"/>
            </w:tcBorders>
            <w:shd w:val="clear" w:color="auto" w:fill="auto"/>
            <w:vAlign w:val="center"/>
          </w:tcPr>
          <w:p w14:paraId="09ACE93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10</w:t>
            </w:r>
          </w:p>
        </w:tc>
        <w:tc>
          <w:tcPr>
            <w:tcW w:w="756" w:type="dxa"/>
            <w:vMerge w:val="restart"/>
            <w:tcBorders>
              <w:top w:val="single" w:color="000000" w:sz="4" w:space="0"/>
              <w:left w:val="single" w:color="000000" w:sz="4" w:space="0"/>
              <w:right w:val="single" w:color="000000" w:sz="4" w:space="0"/>
            </w:tcBorders>
            <w:shd w:val="clear" w:color="auto" w:fill="auto"/>
            <w:vAlign w:val="center"/>
          </w:tcPr>
          <w:p w14:paraId="4ED90972">
            <w:pPr>
              <w:keepNext w:val="0"/>
              <w:keepLines w:val="0"/>
              <w:pageBreakBefore w:val="0"/>
              <w:widowControl w:val="0"/>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腐蚀性物质（包括酸性物质、碱</w:t>
            </w:r>
            <w:r>
              <w:rPr>
                <w:rFonts w:hint="default" w:ascii="Times New Roman" w:hAnsi="Times New Roman" w:eastAsia="仿宋" w:cs="Times New Roman"/>
                <w:color w:val="000000"/>
                <w:kern w:val="0"/>
                <w:sz w:val="24"/>
                <w:szCs w:val="24"/>
                <w:lang w:val="en-US" w:eastAsia="zh-CN" w:bidi="ar"/>
              </w:rPr>
              <w:t>性物质和强氧化性物质）</w:t>
            </w:r>
          </w:p>
          <w:p w14:paraId="5ED4F2E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zh-CN" w:eastAsia="zh-CN"/>
              </w:rPr>
            </w:pP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979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zh-CN" w:eastAsia="zh-CN"/>
              </w:rPr>
            </w:pPr>
            <w:r>
              <w:rPr>
                <w:rFonts w:hint="default" w:ascii="Times New Roman" w:hAnsi="Times New Roman" w:eastAsia="仿宋" w:cs="Times New Roman"/>
                <w:sz w:val="24"/>
                <w:szCs w:val="24"/>
              </w:rPr>
              <w:t>盐酸、硫酸、硝酸、磷酸等。</w:t>
            </w:r>
          </w:p>
        </w:tc>
        <w:tc>
          <w:tcPr>
            <w:tcW w:w="5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8107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zh-CN" w:eastAsia="zh-CN"/>
              </w:rPr>
            </w:pPr>
            <w:r>
              <w:rPr>
                <w:rFonts w:hint="default" w:ascii="Times New Roman" w:hAnsi="Times New Roman" w:eastAsia="仿宋" w:cs="Times New Roman"/>
                <w:sz w:val="24"/>
                <w:szCs w:val="24"/>
              </w:rPr>
              <w:t>浓盐酸和硝酸有酸性烟雾挥发出来，浓硫酸密度大于水，溶于水时产生大量热量。该类物质表现为强酸性和强腐蚀性，进入水体后将引起水体酸度急剧上升，严重腐蚀水工建筑物，破坏水生态系统，但在基质中碳酸钙的作用下其酸性和腐蚀能力会逐渐降低。</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DA74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zh-CN" w:eastAsia="zh-CN"/>
              </w:rPr>
            </w:pPr>
            <w:r>
              <w:rPr>
                <w:rFonts w:hint="default" w:ascii="Times New Roman" w:hAnsi="Times New Roman" w:eastAsia="仿宋" w:cs="Times New Roman"/>
                <w:sz w:val="24"/>
                <w:szCs w:val="24"/>
              </w:rPr>
              <w:t>应急人员戴防护手套，处置挥发性酸时戴防毒面具，污染区投加碱性物质如生石灰、碳酸钠等中和。</w:t>
            </w:r>
          </w:p>
        </w:tc>
      </w:tr>
      <w:tr w14:paraId="3ED17F09">
        <w:tblPrEx>
          <w:tblCellMar>
            <w:top w:w="77" w:type="dxa"/>
            <w:left w:w="0" w:type="dxa"/>
            <w:bottom w:w="0" w:type="dxa"/>
            <w:right w:w="0" w:type="dxa"/>
          </w:tblCellMar>
        </w:tblPrEx>
        <w:trPr>
          <w:trHeight w:val="23" w:hRule="atLeast"/>
          <w:tblHeader/>
          <w:jc w:val="center"/>
        </w:trPr>
        <w:tc>
          <w:tcPr>
            <w:tcW w:w="615" w:type="dxa"/>
            <w:vMerge w:val="continue"/>
            <w:tcBorders>
              <w:left w:val="single" w:color="000000" w:sz="4" w:space="0"/>
              <w:right w:val="single" w:color="000000" w:sz="4" w:space="0"/>
            </w:tcBorders>
            <w:shd w:val="clear" w:color="auto" w:fill="auto"/>
            <w:vAlign w:val="center"/>
          </w:tcPr>
          <w:p w14:paraId="5573082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p>
        </w:tc>
        <w:tc>
          <w:tcPr>
            <w:tcW w:w="756" w:type="dxa"/>
            <w:vMerge w:val="continue"/>
            <w:tcBorders>
              <w:left w:val="single" w:color="000000" w:sz="4" w:space="0"/>
              <w:right w:val="single" w:color="000000" w:sz="4" w:space="0"/>
            </w:tcBorders>
            <w:shd w:val="clear" w:color="auto" w:fill="auto"/>
            <w:vAlign w:val="center"/>
          </w:tcPr>
          <w:p w14:paraId="56C21C0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0D7E3">
            <w:pPr>
              <w:keepNext w:val="0"/>
              <w:keepLines w:val="0"/>
              <w:pageBreakBefore w:val="0"/>
              <w:widowControl w:val="0"/>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000000"/>
                <w:kern w:val="0"/>
                <w:sz w:val="24"/>
                <w:szCs w:val="24"/>
                <w:lang w:val="en-US" w:eastAsia="zh-CN" w:bidi="ar"/>
              </w:rPr>
              <w:t>氢氧化钠、氢氧化钾、电石等。</w:t>
            </w:r>
          </w:p>
        </w:tc>
        <w:tc>
          <w:tcPr>
            <w:tcW w:w="5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1624">
            <w:pPr>
              <w:keepNext w:val="0"/>
              <w:keepLines w:val="0"/>
              <w:pageBreakBefore w:val="0"/>
              <w:widowControl w:val="0"/>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000000"/>
                <w:kern w:val="0"/>
                <w:sz w:val="24"/>
                <w:szCs w:val="24"/>
                <w:lang w:val="en-US" w:eastAsia="zh-CN" w:bidi="ar"/>
              </w:rPr>
              <w:t>氢氧化钠和氢氧化钾为白色颗粒，易潮解，易溶于水，多以溶液状态罐车运输。</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4ADAD">
            <w:pPr>
              <w:keepNext w:val="0"/>
              <w:keepLines w:val="0"/>
              <w:pageBreakBefore w:val="0"/>
              <w:widowControl w:val="0"/>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000000"/>
                <w:kern w:val="0"/>
                <w:sz w:val="24"/>
                <w:szCs w:val="24"/>
                <w:lang w:val="en-US" w:eastAsia="zh-CN" w:bidi="ar"/>
              </w:rPr>
              <w:t>应急人员应带防护手套，在污染区投加酸性物质（如稀盐酸、稀硫酸等）中和处理。</w:t>
            </w:r>
          </w:p>
        </w:tc>
      </w:tr>
      <w:tr w14:paraId="71826A6F">
        <w:tblPrEx>
          <w:tblCellMar>
            <w:top w:w="77" w:type="dxa"/>
            <w:left w:w="0" w:type="dxa"/>
            <w:bottom w:w="0" w:type="dxa"/>
            <w:right w:w="0" w:type="dxa"/>
          </w:tblCellMar>
        </w:tblPrEx>
        <w:trPr>
          <w:trHeight w:val="23" w:hRule="atLeast"/>
          <w:tblHeader/>
          <w:jc w:val="center"/>
        </w:trPr>
        <w:tc>
          <w:tcPr>
            <w:tcW w:w="615" w:type="dxa"/>
            <w:vMerge w:val="continue"/>
            <w:tcBorders>
              <w:left w:val="single" w:color="000000" w:sz="4" w:space="0"/>
              <w:bottom w:val="single" w:color="000000" w:sz="4" w:space="0"/>
              <w:right w:val="single" w:color="000000" w:sz="4" w:space="0"/>
            </w:tcBorders>
            <w:shd w:val="clear" w:color="auto" w:fill="auto"/>
            <w:vAlign w:val="center"/>
          </w:tcPr>
          <w:p w14:paraId="509F51E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p>
        </w:tc>
        <w:tc>
          <w:tcPr>
            <w:tcW w:w="756" w:type="dxa"/>
            <w:vMerge w:val="continue"/>
            <w:tcBorders>
              <w:left w:val="single" w:color="000000" w:sz="4" w:space="0"/>
              <w:bottom w:val="single" w:color="000000" w:sz="4" w:space="0"/>
              <w:right w:val="single" w:color="000000" w:sz="4" w:space="0"/>
            </w:tcBorders>
            <w:shd w:val="clear" w:color="auto" w:fill="auto"/>
            <w:vAlign w:val="center"/>
          </w:tcPr>
          <w:p w14:paraId="5E2950C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02322">
            <w:pPr>
              <w:keepNext w:val="0"/>
              <w:keepLines w:val="0"/>
              <w:pageBreakBefore w:val="0"/>
              <w:widowControl w:val="0"/>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000000"/>
                <w:kern w:val="0"/>
                <w:sz w:val="24"/>
                <w:szCs w:val="24"/>
                <w:lang w:val="en-US" w:eastAsia="zh-CN" w:bidi="ar"/>
              </w:rPr>
              <w:t>次氯酸钠、硝酸钾、重铬酸钾和高锰酸钾等。</w:t>
            </w:r>
          </w:p>
        </w:tc>
        <w:tc>
          <w:tcPr>
            <w:tcW w:w="5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C39A">
            <w:pPr>
              <w:keepNext w:val="0"/>
              <w:keepLines w:val="0"/>
              <w:pageBreakBefore w:val="0"/>
              <w:widowControl w:val="0"/>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000000"/>
                <w:kern w:val="0"/>
                <w:sz w:val="24"/>
                <w:szCs w:val="24"/>
                <w:lang w:val="en-US" w:eastAsia="zh-CN" w:bidi="ar"/>
              </w:rPr>
              <w:t>高锰酸钾为紫色晶体，重铬酸钾为鲜红色晶体，其余为白色晶体。该类物质一般易溶于水，具有强氧化性，腐蚀水工建筑物中的金属构件，重铬酸钾还能引起环境中铬类污染物的富集。</w:t>
            </w:r>
          </w:p>
        </w:tc>
        <w:tc>
          <w:tcPr>
            <w:tcW w:w="5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FFF92">
            <w:pPr>
              <w:keepNext w:val="0"/>
              <w:keepLines w:val="0"/>
              <w:pageBreakBefore w:val="0"/>
              <w:widowControl w:val="0"/>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000000"/>
                <w:kern w:val="0"/>
                <w:sz w:val="24"/>
                <w:szCs w:val="24"/>
                <w:lang w:val="en-US" w:eastAsia="zh-CN" w:bidi="ar"/>
              </w:rPr>
              <w:t>应急人员应带防护手套，干态污染物应避免和有机物、金属粉末、易燃物等接触，以免发生爆炸。进人水体后可投加草酸钠还原。</w:t>
            </w:r>
          </w:p>
        </w:tc>
      </w:tr>
      <w:tr w14:paraId="482B79E1">
        <w:tblPrEx>
          <w:tblCellMar>
            <w:top w:w="77" w:type="dxa"/>
            <w:left w:w="0" w:type="dxa"/>
            <w:bottom w:w="0" w:type="dxa"/>
            <w:right w:w="0" w:type="dxa"/>
          </w:tblCellMar>
        </w:tblPrEx>
        <w:trPr>
          <w:trHeight w:val="23" w:hRule="atLeast"/>
          <w:tblHeader/>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3077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11</w:t>
            </w:r>
          </w:p>
        </w:tc>
        <w:tc>
          <w:tcPr>
            <w:tcW w:w="1396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B60A654">
            <w:pPr>
              <w:keepNext w:val="0"/>
              <w:keepLines w:val="0"/>
              <w:pageBreakBefore w:val="0"/>
              <w:widowControl w:val="0"/>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000000"/>
                <w:kern w:val="0"/>
                <w:sz w:val="24"/>
                <w:szCs w:val="24"/>
                <w:lang w:val="en-US" w:eastAsia="zh-CN" w:bidi="ar"/>
              </w:rPr>
              <w:t>除上述常见的十类化学品外，各类病毒、细菌造成的水体污染可投加漂白粉、生石灰等消毒处置。</w:t>
            </w:r>
          </w:p>
        </w:tc>
      </w:tr>
    </w:tbl>
    <w:p w14:paraId="45C28AD4">
      <w:pPr>
        <w:keepNext w:val="0"/>
        <w:keepLines w:val="0"/>
        <w:pageBreakBefore w:val="0"/>
        <w:widowControl w:val="0"/>
        <w:kinsoku/>
        <w:overflowPunct/>
        <w:topLinePunct w:val="0"/>
        <w:bidi w:val="0"/>
        <w:spacing w:after="0" w:line="360" w:lineRule="auto"/>
        <w:ind w:left="0" w:right="0" w:firstLine="0"/>
        <w:rPr>
          <w:rFonts w:hint="default" w:ascii="Times New Roman" w:hAnsi="Times New Roman" w:eastAsia="仿宋" w:cs="Times New Roman"/>
          <w:sz w:val="28"/>
          <w:szCs w:val="28"/>
        </w:rPr>
        <w:sectPr>
          <w:headerReference r:id="rId16" w:type="default"/>
          <w:footerReference r:id="rId17" w:type="default"/>
          <w:pgSz w:w="16838" w:h="11905" w:orient="landscape"/>
          <w:pgMar w:top="1803" w:right="1440" w:bottom="1803" w:left="1440" w:header="884" w:footer="1060" w:gutter="0"/>
          <w:pgBorders>
            <w:top w:val="none" w:sz="0" w:space="0"/>
            <w:left w:val="none" w:sz="0" w:space="0"/>
            <w:bottom w:val="none" w:sz="0" w:space="0"/>
            <w:right w:val="none" w:sz="0" w:space="0"/>
          </w:pgBorders>
          <w:pgNumType w:fmt="decimal"/>
          <w:cols w:space="0" w:num="1"/>
          <w:rtlGutter w:val="0"/>
          <w:docGrid w:linePitch="0" w:charSpace="0"/>
        </w:sectPr>
      </w:pPr>
    </w:p>
    <w:bookmarkEnd w:id="152"/>
    <w:p w14:paraId="0ED0473D">
      <w:pPr>
        <w:pStyle w:val="3"/>
        <w:bidi w:val="0"/>
        <w:rPr>
          <w:rFonts w:hint="eastAsia" w:ascii="Times New Roman" w:hAnsi="Times New Roman"/>
          <w:lang w:val="en-US" w:eastAsia="zh-CN"/>
        </w:rPr>
      </w:pPr>
      <w:bookmarkStart w:id="153" w:name="_Toc19411"/>
      <w:r>
        <w:rPr>
          <w:rFonts w:hint="eastAsia" w:ascii="Times New Roman" w:hAnsi="Times New Roman"/>
          <w:lang w:val="en-US" w:eastAsia="zh-CN"/>
        </w:rPr>
        <w:t>附件6：</w:t>
      </w:r>
      <w:r>
        <w:rPr>
          <w:rFonts w:hint="eastAsia"/>
          <w:lang w:val="en-US" w:eastAsia="zh-CN"/>
        </w:rPr>
        <w:t>技术审查</w:t>
      </w:r>
      <w:r>
        <w:rPr>
          <w:rFonts w:hint="eastAsia" w:ascii="Times New Roman" w:hAnsi="Times New Roman"/>
          <w:lang w:val="en-US" w:eastAsia="zh-CN"/>
        </w:rPr>
        <w:t>意见</w:t>
      </w:r>
      <w:bookmarkEnd w:id="153"/>
    </w:p>
    <w:p w14:paraId="565ADBF9">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lang w:val="en-US" w:eastAsia="zh-CN"/>
        </w:rPr>
      </w:pPr>
      <w:r>
        <w:rPr>
          <w:rFonts w:hint="default"/>
          <w:lang w:val="en-US" w:eastAsia="zh-CN"/>
        </w:rPr>
        <w:drawing>
          <wp:inline distT="0" distB="0" distL="114300" distR="114300">
            <wp:extent cx="5266690" cy="7526020"/>
            <wp:effectExtent l="0" t="0" r="10160" b="17780"/>
            <wp:docPr id="12" name="图片 12" descr="52113719a1eee1cd387578dacb5ba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2113719a1eee1cd387578dacb5bae35"/>
                    <pic:cNvPicPr>
                      <a:picLocks noChangeAspect="1"/>
                    </pic:cNvPicPr>
                  </pic:nvPicPr>
                  <pic:blipFill>
                    <a:blip r:embed="rId38"/>
                    <a:stretch>
                      <a:fillRect/>
                    </a:stretch>
                  </pic:blipFill>
                  <pic:spPr>
                    <a:xfrm>
                      <a:off x="0" y="0"/>
                      <a:ext cx="5266690" cy="7526020"/>
                    </a:xfrm>
                    <a:prstGeom prst="rect">
                      <a:avLst/>
                    </a:prstGeom>
                  </pic:spPr>
                </pic:pic>
              </a:graphicData>
            </a:graphic>
          </wp:inline>
        </w:drawing>
      </w:r>
      <w:bookmarkStart w:id="154" w:name="_GoBack"/>
      <w:bookmarkEnd w:id="154"/>
    </w:p>
    <w:sectPr>
      <w:footerReference r:id="rId21" w:type="first"/>
      <w:headerReference r:id="rId18" w:type="default"/>
      <w:footerReference r:id="rId19" w:type="default"/>
      <w:footerReference r:id="rId20" w:type="even"/>
      <w:pgSz w:w="11905" w:h="16838"/>
      <w:pgMar w:top="1440" w:right="1803" w:bottom="1440" w:left="1803" w:header="884" w:footer="1060"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1" w:fontKey="{94A585A0-A057-4545-818C-C747F1E3AC28}"/>
  </w:font>
  <w:font w:name="微软雅黑">
    <w:panose1 w:val="020B0503020204020204"/>
    <w:charset w:val="86"/>
    <w:family w:val="swiss"/>
    <w:pitch w:val="default"/>
    <w:sig w:usb0="80000287" w:usb1="2ACF3C50" w:usb2="00000016" w:usb3="00000000" w:csb0="0004001F" w:csb1="00000000"/>
    <w:embedRegular r:id="rId2" w:fontKey="{B606CE3B-491B-4106-9C92-FE2654818C8E}"/>
  </w:font>
  <w:font w:name="华文楷体">
    <w:altName w:val="楷体_GB2312"/>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17DA">
    <w:pPr>
      <w:spacing w:line="184" w:lineRule="auto"/>
      <w:rPr>
        <w:rFonts w:ascii="Times New Roman" w:hAnsi="Times New Roman" w:eastAsia="Times New Roman" w:cs="Times New Roman"/>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85352">
    <w:pPr>
      <w:spacing w:after="0" w:line="259" w:lineRule="auto"/>
      <w:ind w:left="0" w:right="744" w:firstLine="0"/>
    </w:pPr>
    <w:r>
      <w:rPr>
        <w:sz w:val="32"/>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EF2A03">
                          <w:pPr>
                            <w:pStyle w:val="12"/>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1EF2A03">
                    <w:pPr>
                      <w:pStyle w:val="12"/>
                    </w:pPr>
                    <w:r>
                      <w:fldChar w:fldCharType="begin"/>
                    </w:r>
                    <w:r>
                      <w:instrText xml:space="preserve"> PAGE  \* MERGEFORMAT </w:instrText>
                    </w:r>
                    <w:r>
                      <w:fldChar w:fldCharType="separate"/>
                    </w:r>
                    <w:r>
                      <w:t>70</w:t>
                    </w:r>
                    <w:r>
                      <w:fldChar w:fldCharType="end"/>
                    </w:r>
                  </w:p>
                </w:txbxContent>
              </v:textbox>
            </v:shape>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9E68B7">
                          <w:pPr>
                            <w:pStyle w:val="12"/>
                            <w:rPr>
                              <w:rFonts w:hint="default" w:eastAsia="微软雅黑"/>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319E68B7">
                    <w:pPr>
                      <w:pStyle w:val="12"/>
                      <w:rPr>
                        <w:rFonts w:hint="default" w:eastAsia="微软雅黑"/>
                        <w:lang w:val="en-US" w:eastAsia="zh-CN"/>
                      </w:rPr>
                    </w:pP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DEE09">
    <w:pPr>
      <w:spacing w:after="0" w:line="259" w:lineRule="auto"/>
      <w:ind w:left="0" w:right="744" w:firstLine="0"/>
    </w:pPr>
    <w:r>
      <w:rPr>
        <w:sz w:val="3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787F8C">
                          <w:pPr>
                            <w:pStyle w:val="12"/>
                          </w:pPr>
                          <w:r>
                            <w:fldChar w:fldCharType="begin"/>
                          </w:r>
                          <w:r>
                            <w:instrText xml:space="preserve"> PAGE  \* MERGEFORMAT </w:instrText>
                          </w:r>
                          <w:r>
                            <w:fldChar w:fldCharType="separate"/>
                          </w:r>
                          <w:r>
                            <w:t>- 112 -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1F787F8C">
                    <w:pPr>
                      <w:pStyle w:val="12"/>
                    </w:pPr>
                    <w:r>
                      <w:fldChar w:fldCharType="begin"/>
                    </w:r>
                    <w:r>
                      <w:instrText xml:space="preserve"> PAGE  \* MERGEFORMAT </w:instrText>
                    </w:r>
                    <w:r>
                      <w:fldChar w:fldCharType="separate"/>
                    </w:r>
                    <w:r>
                      <w:t>- 112 -</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39E86">
    <w:pPr>
      <w:spacing w:after="0" w:line="259" w:lineRule="auto"/>
      <w:ind w:left="0" w:right="744" w:firstLine="0"/>
      <w:jc w:val="center"/>
    </w:pPr>
    <w:r>
      <w:fldChar w:fldCharType="begin"/>
    </w:r>
    <w:r>
      <w:instrText xml:space="preserve"> PAGE   \* MERGEFORMAT </w:instrText>
    </w:r>
    <w:r>
      <w:fldChar w:fldCharType="separate"/>
    </w:r>
    <w:r>
      <w:rPr>
        <w:rFonts w:ascii="Times New Roman" w:hAnsi="Times New Roman" w:eastAsia="Times New Roman" w:cs="Times New Roman"/>
        <w:sz w:val="18"/>
      </w:rPr>
      <w:t>98</w:t>
    </w:r>
    <w:r>
      <w:rPr>
        <w:rFonts w:ascii="Times New Roman" w:hAnsi="Times New Roman" w:eastAsia="Times New Roman" w:cs="Times New Roman"/>
        <w:sz w:val="18"/>
      </w:rP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AE97B">
    <w:pPr>
      <w:spacing w:line="184" w:lineRule="auto"/>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08EEED">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608EEED">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AA706">
    <w:pPr>
      <w:spacing w:after="0" w:line="259" w:lineRule="auto"/>
      <w:ind w:left="1216" w:right="0" w:firstLine="0"/>
    </w:pPr>
    <w:r>
      <w:rPr>
        <w:sz w:val="2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9D25E1">
                          <w:pPr>
                            <w:pStyle w:val="12"/>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29D25E1">
                    <w:pPr>
                      <w:pStyle w:val="12"/>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15629">
    <w:pPr>
      <w:spacing w:after="160" w:line="259" w:lineRule="auto"/>
      <w:ind w:left="0" w:right="0" w:firstLine="0"/>
    </w:pPr>
    <w:r>
      <w:rPr>
        <w:sz w:val="2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A71A43">
                          <w:pPr>
                            <w:pStyle w:val="12"/>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2A71A43">
                    <w:pPr>
                      <w:pStyle w:val="12"/>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A7B55">
    <w:pPr>
      <w:spacing w:after="160" w:line="259" w:lineRule="auto"/>
      <w:ind w:left="0" w:right="0" w:firstLine="0"/>
    </w:pPr>
    <w:r>
      <w:rPr>
        <w:sz w:val="3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E2A317">
                          <w:pPr>
                            <w:pStyle w:val="12"/>
                          </w:pPr>
                          <w:r>
                            <w:fldChar w:fldCharType="begin"/>
                          </w:r>
                          <w:r>
                            <w:instrText xml:space="preserve"> PAGE  \* MERGEFORMAT </w:instrText>
                          </w:r>
                          <w:r>
                            <w:fldChar w:fldCharType="separate"/>
                          </w:r>
                          <w:r>
                            <w:t>- 82 -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23E2A317">
                    <w:pPr>
                      <w:pStyle w:val="12"/>
                    </w:pPr>
                    <w:r>
                      <w:fldChar w:fldCharType="begin"/>
                    </w:r>
                    <w:r>
                      <w:instrText xml:space="preserve"> PAGE  \* MERGEFORMAT </w:instrText>
                    </w:r>
                    <w:r>
                      <w:fldChar w:fldCharType="separate"/>
                    </w:r>
                    <w:r>
                      <w:t>- 82 -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FCD10">
    <w:pPr>
      <w:spacing w:after="0" w:line="259" w:lineRule="auto"/>
      <w:ind w:left="0" w:right="428" w:firstLine="0"/>
    </w:pPr>
    <w:r>
      <w:rPr>
        <w:sz w:val="2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851AED">
                          <w:pPr>
                            <w:pStyle w:val="12"/>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6851AED">
                    <w:pPr>
                      <w:pStyle w:val="12"/>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75D5F">
    <w:pPr>
      <w:spacing w:after="0" w:line="259" w:lineRule="auto"/>
      <w:ind w:left="0" w:right="428" w:firstLine="0"/>
    </w:pPr>
    <w:r>
      <w:rPr>
        <w:sz w:val="3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D9ECE5">
                          <w:pPr>
                            <w:pStyle w:val="12"/>
                          </w:pPr>
                          <w:r>
                            <w:fldChar w:fldCharType="begin"/>
                          </w:r>
                          <w:r>
                            <w:instrText xml:space="preserve"> PAGE  \* MERGEFORMAT </w:instrText>
                          </w:r>
                          <w:r>
                            <w:fldChar w:fldCharType="separate"/>
                          </w:r>
                          <w:r>
                            <w:t>- 94 -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56D9ECE5">
                    <w:pPr>
                      <w:pStyle w:val="12"/>
                    </w:pPr>
                    <w:r>
                      <w:fldChar w:fldCharType="begin"/>
                    </w:r>
                    <w:r>
                      <w:instrText xml:space="preserve"> PAGE  \* MERGEFORMAT </w:instrText>
                    </w:r>
                    <w:r>
                      <w:fldChar w:fldCharType="separate"/>
                    </w:r>
                    <w:r>
                      <w:t>- 94 -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822E0">
    <w:pPr>
      <w:spacing w:after="0" w:line="259" w:lineRule="auto"/>
      <w:ind w:left="0" w:right="428" w:firstLine="0"/>
      <w:jc w:val="center"/>
    </w:pPr>
    <w:r>
      <w:fldChar w:fldCharType="begin"/>
    </w:r>
    <w:r>
      <w:instrText xml:space="preserve"> PAGE   \* MERGEFORMAT </w:instrText>
    </w:r>
    <w:r>
      <w:fldChar w:fldCharType="separate"/>
    </w:r>
    <w:r>
      <w:rPr>
        <w:rFonts w:ascii="Times New Roman" w:hAnsi="Times New Roman" w:eastAsia="Times New Roman" w:cs="Times New Roman"/>
        <w:sz w:val="18"/>
      </w:rPr>
      <w:t>98</w:t>
    </w:r>
    <w:r>
      <w:rPr>
        <w:rFonts w:ascii="Times New Roman" w:hAnsi="Times New Roman" w:eastAsia="Times New Roman" w:cs="Times New Roman"/>
        <w:sz w:val="18"/>
      </w:rPr>
      <w:fldChar w:fldCharType="end"/>
    </w: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E406A">
    <w:pPr>
      <w:spacing w:after="0" w:line="259" w:lineRule="auto"/>
      <w:ind w:left="1017" w:right="0" w:firstLine="0"/>
    </w:pPr>
    <w:r>
      <w:rPr>
        <w:sz w:val="2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F57E25">
                          <w:pPr>
                            <w:pStyle w:val="12"/>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EF57E25">
                    <w:pPr>
                      <w:pStyle w:val="12"/>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46E1A">
    <w:pPr>
      <w:pStyle w:val="13"/>
      <w:jc w:val="right"/>
      <w:rPr>
        <w:rFonts w:ascii="宋体" w:hAnsi="宋体" w:eastAsia="宋体" w:cs="宋体"/>
        <w:sz w:val="21"/>
        <w:szCs w:val="21"/>
        <w:u w:val="single" w:color="auto"/>
        <w:shd w:val="clear" w:color="auto" w:fil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71964">
    <w:pPr>
      <w:pStyle w:val="7"/>
      <w:pBdr>
        <w:bottom w:val="none" w:color="auto" w:sz="0" w:space="0"/>
      </w:pBdr>
      <w:spacing w:line="14" w:lineRule="auto"/>
      <w:rPr>
        <w:sz w:val="2"/>
      </w:rPr>
    </w:pPr>
    <w:r>
      <mc:AlternateContent>
        <mc:Choice Requires="wps">
          <w:drawing>
            <wp:anchor distT="0" distB="0" distL="114300" distR="114300" simplePos="0" relativeHeight="251663360" behindDoc="0" locked="0" layoutInCell="0" allowOverlap="1">
              <wp:simplePos x="0" y="0"/>
              <wp:positionH relativeFrom="page">
                <wp:posOffset>901700</wp:posOffset>
              </wp:positionH>
              <wp:positionV relativeFrom="page">
                <wp:posOffset>547370</wp:posOffset>
              </wp:positionV>
              <wp:extent cx="8888095" cy="194310"/>
              <wp:effectExtent l="0" t="0" r="0" b="0"/>
              <wp:wrapNone/>
              <wp:docPr id="7" name="文本框 7"/>
              <wp:cNvGraphicFramePr/>
              <a:graphic xmlns:a="http://schemas.openxmlformats.org/drawingml/2006/main">
                <a:graphicData uri="http://schemas.microsoft.com/office/word/2010/wordprocessingShape">
                  <wps:wsp>
                    <wps:cNvSpPr txBox="1"/>
                    <wps:spPr>
                      <a:xfrm>
                        <a:off x="0" y="0"/>
                        <a:ext cx="8888095" cy="194310"/>
                      </a:xfrm>
                      <a:prstGeom prst="rect">
                        <a:avLst/>
                      </a:prstGeom>
                      <a:noFill/>
                      <a:ln>
                        <a:noFill/>
                      </a:ln>
                    </wps:spPr>
                    <wps:txbx>
                      <w:txbxContent>
                        <w:p w14:paraId="4121EC2A">
                          <w:pPr>
                            <w:pStyle w:val="13"/>
                            <w:jc w:val="both"/>
                            <w:rPr>
                              <w:rFonts w:ascii="宋体" w:hAnsi="宋体" w:eastAsia="宋体" w:cs="宋体"/>
                              <w:sz w:val="21"/>
                              <w:szCs w:val="21"/>
                              <w:u w:val="single" w:color="auto"/>
                              <w:shd w:val="clear" w:color="auto" w:fill="auto"/>
                            </w:rPr>
                          </w:pPr>
                          <w:r>
                            <w:rPr>
                              <w:rFonts w:hint="eastAsia" w:ascii="仿宋" w:hAnsi="仿宋" w:eastAsia="仿宋" w:cs="仿宋"/>
                              <w:sz w:val="21"/>
                              <w:szCs w:val="21"/>
                              <w:u w:val="single" w:color="auto"/>
                              <w:shd w:val="clear" w:color="auto" w:fill="auto"/>
                              <w:lang w:val="en-US" w:eastAsia="zh-CN"/>
                            </w:rPr>
                            <w:t xml:space="preserve">                                  </w:t>
                          </w:r>
                        </w:p>
                        <w:p w14:paraId="36A07BE3">
                          <w:pPr>
                            <w:tabs>
                              <w:tab w:val="left" w:pos="8420"/>
                            </w:tabs>
                            <w:spacing w:before="19" w:line="227" w:lineRule="auto"/>
                            <w:ind w:left="20"/>
                            <w:rPr>
                              <w:rFonts w:ascii="宋体" w:hAnsi="宋体" w:eastAsia="宋体" w:cs="宋体"/>
                              <w:sz w:val="20"/>
                              <w:szCs w:val="20"/>
                            </w:rPr>
                          </w:pPr>
                        </w:p>
                      </w:txbxContent>
                    </wps:txbx>
                    <wps:bodyPr lIns="0" tIns="0" rIns="0" bIns="0" upright="1"/>
                  </wps:wsp>
                </a:graphicData>
              </a:graphic>
            </wp:anchor>
          </w:drawing>
        </mc:Choice>
        <mc:Fallback>
          <w:pict>
            <v:shape id="_x0000_s1026" o:spid="_x0000_s1026" o:spt="202" type="#_x0000_t202" style="position:absolute;left:0pt;margin-left:71pt;margin-top:43.1pt;height:15.3pt;width:699.85pt;mso-position-horizontal-relative:page;mso-position-vertical-relative:page;z-index:251663360;mso-width-relative:page;mso-height-relative:page;" filled="f" stroked="f" coordsize="21600,21600" o:allowincell="f" o:gfxdata="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WZGQ/ZAAAACwEAAA8AAAAAAAAAAQAgAAAAIgAAAGRycy9kb3ducmV2LnhtbFBL&#10;AQIUABQAAAAIAIdO4kABrLCbvAEAAHIDAAAOAAAAAAAAAAEAIAAAACgBAABkcnMvZTJvRG9jLnht&#10;bFBLBQYAAAAABgAGAFkBAABWBQAAAAA=&#10;">
              <v:fill on="f" focussize="0,0"/>
              <v:stroke on="f"/>
              <v:imagedata o:title=""/>
              <o:lock v:ext="edit" aspectratio="f"/>
              <v:textbox inset="0mm,0mm,0mm,0mm">
                <w:txbxContent>
                  <w:p w14:paraId="4121EC2A">
                    <w:pPr>
                      <w:pStyle w:val="13"/>
                      <w:jc w:val="both"/>
                      <w:rPr>
                        <w:rFonts w:ascii="宋体" w:hAnsi="宋体" w:eastAsia="宋体" w:cs="宋体"/>
                        <w:sz w:val="21"/>
                        <w:szCs w:val="21"/>
                        <w:u w:val="single" w:color="auto"/>
                        <w:shd w:val="clear" w:color="auto" w:fill="auto"/>
                      </w:rPr>
                    </w:pPr>
                    <w:r>
                      <w:rPr>
                        <w:rFonts w:hint="eastAsia" w:ascii="仿宋" w:hAnsi="仿宋" w:eastAsia="仿宋" w:cs="仿宋"/>
                        <w:sz w:val="21"/>
                        <w:szCs w:val="21"/>
                        <w:u w:val="single" w:color="auto"/>
                        <w:shd w:val="clear" w:color="auto" w:fill="auto"/>
                        <w:lang w:val="en-US" w:eastAsia="zh-CN"/>
                      </w:rPr>
                      <w:t xml:space="preserve">                                  </w:t>
                    </w:r>
                  </w:p>
                  <w:p w14:paraId="36A07BE3">
                    <w:pPr>
                      <w:tabs>
                        <w:tab w:val="left" w:pos="8420"/>
                      </w:tabs>
                      <w:spacing w:before="19" w:line="227" w:lineRule="auto"/>
                      <w:ind w:left="20"/>
                      <w:rPr>
                        <w:rFonts w:ascii="宋体" w:hAnsi="宋体" w:eastAsia="宋体" w:cs="宋体"/>
                        <w:sz w:val="20"/>
                        <w:szCs w:val="20"/>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AD83A">
    <w:pPr>
      <w:pStyle w:val="13"/>
      <w:jc w:val="right"/>
    </w:pPr>
    <w:r>
      <w:rPr>
        <w:rFonts w:hint="eastAsia"/>
        <w:lang w:eastAsia="zh-CN"/>
      </w:rPr>
      <w:tab/>
    </w:r>
    <w:r>
      <w:rPr>
        <w:rFonts w:hint="eastAsia"/>
        <w:lang w:eastAsia="zh-CN"/>
      </w:rPr>
      <w:tab/>
    </w:r>
    <w:r>
      <w:rPr>
        <w:rFonts w:hint="eastAsia" w:ascii="仿宋" w:hAnsi="仿宋" w:eastAsia="仿宋" w:cs="仿宋"/>
        <w:sz w:val="21"/>
        <w:szCs w:val="21"/>
        <w:u w:val="single" w:color="auto"/>
        <w:shd w:val="clear" w:color="auto" w:fill="auto"/>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5B980">
    <w:pPr>
      <w:pStyle w:val="13"/>
      <w:jc w:val="right"/>
      <w:rPr>
        <w:rFonts w:ascii="宋体" w:hAnsi="宋体" w:eastAsia="宋体" w:cs="宋体"/>
        <w:sz w:val="21"/>
        <w:szCs w:val="21"/>
        <w:u w:val="single" w:color="auto"/>
        <w:shd w:val="clear" w:color="auto" w:fill="auto"/>
      </w:rPr>
    </w:pPr>
    <w:r>
      <w:rPr>
        <w:rFonts w:hint="eastAsia" w:ascii="仿宋" w:hAnsi="仿宋" w:eastAsia="仿宋" w:cs="仿宋"/>
        <w:sz w:val="21"/>
        <w:szCs w:val="21"/>
        <w:u w:val="single" w:color="auto"/>
        <w:shd w:val="clear" w:color="auto" w:fill="auto"/>
        <w:lang w:val="en-US" w:eastAsia="zh-CN"/>
      </w:rPr>
      <w:t xml:space="preserve">                                 </w:t>
    </w:r>
  </w:p>
  <w:p w14:paraId="1D81CBDE">
    <w:pPr>
      <w:pStyle w:val="1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438B1">
    <w:pPr>
      <w:pStyle w:val="13"/>
      <w:jc w:val="right"/>
      <w:rPr>
        <w:rFonts w:ascii="宋体" w:hAnsi="宋体" w:eastAsia="宋体" w:cs="宋体"/>
        <w:sz w:val="21"/>
        <w:szCs w:val="21"/>
        <w:u w:val="single" w:color="auto"/>
        <w:shd w:val="clear" w:color="auto" w:fill="auto"/>
      </w:rPr>
    </w:pPr>
    <w:r>
      <w:rPr>
        <w:rFonts w:hint="eastAsia" w:ascii="仿宋" w:hAnsi="仿宋" w:eastAsia="仿宋" w:cs="仿宋"/>
        <w:sz w:val="21"/>
        <w:szCs w:val="21"/>
        <w:u w:val="single" w:color="auto"/>
        <w:shd w:val="clear" w:color="auto" w:fill="auto"/>
        <w:lang w:val="en-US" w:eastAsia="zh-CN"/>
      </w:rPr>
      <w:t xml:space="preserve">                              </w:t>
    </w:r>
  </w:p>
  <w:p w14:paraId="58091250">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99DCF3"/>
    <w:multiLevelType w:val="singleLevel"/>
    <w:tmpl w:val="9899DCF3"/>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TrueTypeFonts/>
  <w:saveSubsetFonts/>
  <w:bordersDoNotSurroundHeader w:val="0"/>
  <w:bordersDoNotSurroundFooter w:val="0"/>
  <w:hideSpellingErrors/>
  <w:hideGrammaticalErrors/>
  <w:documentProtection w:enforcement="0"/>
  <w:defaultTabStop w:val="420"/>
  <w:drawingGridHorizontalSpacing w:val="320"/>
  <w:drawingGridVerticalSpacing w:val="9999999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VlY2NkM2EzNTc1MjNiZDM1NjVjYjY3NGUwMWU2MDkifQ=="/>
  </w:docVars>
  <w:rsids>
    <w:rsidRoot w:val="00611E8A"/>
    <w:rsid w:val="005B28EB"/>
    <w:rsid w:val="00611E8A"/>
    <w:rsid w:val="00B74F86"/>
    <w:rsid w:val="016C2D4F"/>
    <w:rsid w:val="01791910"/>
    <w:rsid w:val="01892937"/>
    <w:rsid w:val="018E678F"/>
    <w:rsid w:val="03A62E4E"/>
    <w:rsid w:val="03C340C6"/>
    <w:rsid w:val="03F5629E"/>
    <w:rsid w:val="042C09DB"/>
    <w:rsid w:val="065E11D2"/>
    <w:rsid w:val="066D1751"/>
    <w:rsid w:val="06F52F6B"/>
    <w:rsid w:val="072440CC"/>
    <w:rsid w:val="07874E15"/>
    <w:rsid w:val="07D96F93"/>
    <w:rsid w:val="08387E2F"/>
    <w:rsid w:val="08EB6C4F"/>
    <w:rsid w:val="0AD715A6"/>
    <w:rsid w:val="0D9C07CF"/>
    <w:rsid w:val="0E012293"/>
    <w:rsid w:val="0FD24432"/>
    <w:rsid w:val="108779BC"/>
    <w:rsid w:val="11156AC2"/>
    <w:rsid w:val="124D1381"/>
    <w:rsid w:val="125C296C"/>
    <w:rsid w:val="132A30A6"/>
    <w:rsid w:val="155B3E0E"/>
    <w:rsid w:val="1713404B"/>
    <w:rsid w:val="17954B7C"/>
    <w:rsid w:val="197B0DFE"/>
    <w:rsid w:val="19D127FF"/>
    <w:rsid w:val="19DF510A"/>
    <w:rsid w:val="19F96A97"/>
    <w:rsid w:val="1A086855"/>
    <w:rsid w:val="1B2456B1"/>
    <w:rsid w:val="1C2B4C5F"/>
    <w:rsid w:val="1CDF0421"/>
    <w:rsid w:val="1DB168A8"/>
    <w:rsid w:val="1E625D07"/>
    <w:rsid w:val="1F9116FB"/>
    <w:rsid w:val="20B901C6"/>
    <w:rsid w:val="21900E10"/>
    <w:rsid w:val="22A760AF"/>
    <w:rsid w:val="263A7D85"/>
    <w:rsid w:val="2A1774E7"/>
    <w:rsid w:val="2A1A4DDE"/>
    <w:rsid w:val="2B917537"/>
    <w:rsid w:val="2BCA4992"/>
    <w:rsid w:val="2C8F4E60"/>
    <w:rsid w:val="2CD26160"/>
    <w:rsid w:val="2EB711FE"/>
    <w:rsid w:val="2F892225"/>
    <w:rsid w:val="310E3884"/>
    <w:rsid w:val="31342F16"/>
    <w:rsid w:val="371A67CE"/>
    <w:rsid w:val="37660D5D"/>
    <w:rsid w:val="39F36964"/>
    <w:rsid w:val="3B054A1B"/>
    <w:rsid w:val="3C4D2B4D"/>
    <w:rsid w:val="3D4005C5"/>
    <w:rsid w:val="3E3123DE"/>
    <w:rsid w:val="4022098A"/>
    <w:rsid w:val="40823925"/>
    <w:rsid w:val="42B64554"/>
    <w:rsid w:val="438374FF"/>
    <w:rsid w:val="43D55E57"/>
    <w:rsid w:val="461F6153"/>
    <w:rsid w:val="46A2058E"/>
    <w:rsid w:val="46AD3ABB"/>
    <w:rsid w:val="46E63124"/>
    <w:rsid w:val="472745EF"/>
    <w:rsid w:val="488A45ED"/>
    <w:rsid w:val="4C7633FA"/>
    <w:rsid w:val="522D786C"/>
    <w:rsid w:val="5286077E"/>
    <w:rsid w:val="52AA63B5"/>
    <w:rsid w:val="5344322B"/>
    <w:rsid w:val="55156795"/>
    <w:rsid w:val="56FD6E81"/>
    <w:rsid w:val="579F6FC2"/>
    <w:rsid w:val="583837D8"/>
    <w:rsid w:val="588A1C44"/>
    <w:rsid w:val="58BC2ED3"/>
    <w:rsid w:val="58CD1949"/>
    <w:rsid w:val="59F40C45"/>
    <w:rsid w:val="5B451DD8"/>
    <w:rsid w:val="5C042EE3"/>
    <w:rsid w:val="5CE50D25"/>
    <w:rsid w:val="5FA83C10"/>
    <w:rsid w:val="5FED6B8B"/>
    <w:rsid w:val="612169A9"/>
    <w:rsid w:val="61334A71"/>
    <w:rsid w:val="616079D7"/>
    <w:rsid w:val="626B3D79"/>
    <w:rsid w:val="642740FE"/>
    <w:rsid w:val="64E06920"/>
    <w:rsid w:val="654428E8"/>
    <w:rsid w:val="678E732F"/>
    <w:rsid w:val="68C1317F"/>
    <w:rsid w:val="69D02AD2"/>
    <w:rsid w:val="69E812E9"/>
    <w:rsid w:val="6BA2023B"/>
    <w:rsid w:val="6D322614"/>
    <w:rsid w:val="6F7C4623"/>
    <w:rsid w:val="72203F91"/>
    <w:rsid w:val="72A439A3"/>
    <w:rsid w:val="72C154D1"/>
    <w:rsid w:val="7462590D"/>
    <w:rsid w:val="74E0092E"/>
    <w:rsid w:val="75106A57"/>
    <w:rsid w:val="75135EAB"/>
    <w:rsid w:val="7650719B"/>
    <w:rsid w:val="76EB7E96"/>
    <w:rsid w:val="770D5C33"/>
    <w:rsid w:val="77711ED0"/>
    <w:rsid w:val="779E5E91"/>
    <w:rsid w:val="79B60977"/>
    <w:rsid w:val="79C8614D"/>
    <w:rsid w:val="79D34F95"/>
    <w:rsid w:val="7B62654C"/>
    <w:rsid w:val="7DE75736"/>
    <w:rsid w:val="7FBD55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line="360" w:lineRule="auto"/>
      <w:ind w:left="0" w:right="0" w:firstLine="560" w:firstLineChars="200"/>
      <w:jc w:val="both"/>
    </w:pPr>
    <w:rPr>
      <w:rFonts w:ascii="Times New Roman" w:hAnsi="Times New Roman" w:eastAsia="仿宋" w:cs="微软雅黑"/>
      <w:color w:val="000000"/>
      <w:kern w:val="2"/>
      <w:sz w:val="28"/>
      <w:szCs w:val="24"/>
      <w:lang w:val="zh-CN" w:eastAsia="zh-CN" w:bidi="zh-CN"/>
    </w:rPr>
  </w:style>
  <w:style w:type="paragraph" w:styleId="2">
    <w:name w:val="heading 1"/>
    <w:next w:val="1"/>
    <w:link w:val="22"/>
    <w:autoRedefine/>
    <w:qFormat/>
    <w:uiPriority w:val="9"/>
    <w:pPr>
      <w:keepNext/>
      <w:keepLines/>
      <w:adjustRightInd w:val="0"/>
      <w:snapToGrid w:val="0"/>
      <w:spacing w:line="360" w:lineRule="auto"/>
      <w:ind w:left="0" w:firstLine="0"/>
      <w:jc w:val="center"/>
      <w:outlineLvl w:val="0"/>
    </w:pPr>
    <w:rPr>
      <w:rFonts w:ascii="Times New Roman" w:hAnsi="Times New Roman" w:eastAsia="仿宋" w:cs="微软雅黑"/>
      <w:b/>
      <w:color w:val="000000"/>
      <w:kern w:val="2"/>
      <w:sz w:val="36"/>
      <w:szCs w:val="24"/>
      <w:lang w:val="en-US" w:eastAsia="zh-CN" w:bidi="ar-SA"/>
    </w:rPr>
  </w:style>
  <w:style w:type="paragraph" w:styleId="3">
    <w:name w:val="heading 2"/>
    <w:basedOn w:val="1"/>
    <w:next w:val="1"/>
    <w:link w:val="25"/>
    <w:autoRedefine/>
    <w:unhideWhenUsed/>
    <w:qFormat/>
    <w:uiPriority w:val="9"/>
    <w:pPr>
      <w:keepNext/>
      <w:keepLines/>
      <w:adjustRightInd w:val="0"/>
      <w:snapToGrid w:val="0"/>
      <w:spacing w:line="360" w:lineRule="auto"/>
      <w:ind w:left="0" w:firstLine="0" w:firstLineChars="0"/>
      <w:jc w:val="both"/>
      <w:outlineLvl w:val="1"/>
    </w:pPr>
    <w:rPr>
      <w:b/>
      <w:sz w:val="32"/>
      <w:lang w:val="en-US" w:bidi="ar-SA"/>
    </w:rPr>
  </w:style>
  <w:style w:type="paragraph" w:styleId="4">
    <w:name w:val="heading 3"/>
    <w:basedOn w:val="1"/>
    <w:next w:val="1"/>
    <w:link w:val="21"/>
    <w:autoRedefine/>
    <w:unhideWhenUsed/>
    <w:qFormat/>
    <w:uiPriority w:val="9"/>
    <w:pPr>
      <w:keepNext/>
      <w:keepLines/>
      <w:adjustRightInd w:val="0"/>
      <w:snapToGrid w:val="0"/>
      <w:spacing w:line="360" w:lineRule="auto"/>
      <w:ind w:left="0" w:firstLine="0"/>
      <w:outlineLvl w:val="2"/>
    </w:pPr>
    <w:rPr>
      <w:rFonts w:ascii="Times New Roman" w:hAnsi="Times New Roman" w:eastAsia="仿宋" w:cs="Times New Roman"/>
      <w:b/>
      <w:color w:val="000000"/>
      <w:kern w:val="2"/>
      <w:sz w:val="30"/>
      <w:szCs w:val="24"/>
      <w:lang w:val="en-US" w:eastAsia="zh-CN" w:bidi="ar-SA"/>
    </w:rPr>
  </w:style>
  <w:style w:type="paragraph" w:styleId="5">
    <w:name w:val="heading 4"/>
    <w:basedOn w:val="1"/>
    <w:next w:val="1"/>
    <w:unhideWhenUsed/>
    <w:qFormat/>
    <w:uiPriority w:val="9"/>
    <w:pPr>
      <w:keepNext/>
      <w:keepLines/>
      <w:spacing w:beforeLines="0" w:beforeAutospacing="0" w:afterLines="0" w:afterAutospacing="0" w:line="360" w:lineRule="auto"/>
      <w:ind w:firstLine="0" w:firstLineChars="0"/>
      <w:outlineLvl w:val="3"/>
    </w:pPr>
    <w:rPr>
      <w:rFonts w:cs="Times New Roman"/>
      <w:b/>
    </w:rPr>
  </w:style>
  <w:style w:type="character" w:default="1" w:styleId="20">
    <w:name w:val="Default Paragraph Font"/>
    <w:autoRedefine/>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qFormat/>
    <w:uiPriority w:val="0"/>
    <w:rPr>
      <w:rFonts w:ascii="Arial" w:hAnsi="Arial" w:eastAsia="Arial" w:cs="Arial"/>
      <w:sz w:val="21"/>
      <w:szCs w:val="21"/>
      <w:lang w:val="en-US" w:eastAsia="en-US" w:bidi="ar-SA"/>
    </w:rPr>
  </w:style>
  <w:style w:type="paragraph" w:styleId="8">
    <w:name w:val="Body Text Indent"/>
    <w:basedOn w:val="1"/>
    <w:autoRedefine/>
    <w:qFormat/>
    <w:uiPriority w:val="0"/>
    <w:pPr>
      <w:spacing w:after="120"/>
      <w:ind w:left="420" w:leftChars="200"/>
    </w:pPr>
  </w:style>
  <w:style w:type="paragraph" w:styleId="9">
    <w:name w:val="Block Text"/>
    <w:basedOn w:val="1"/>
    <w:autoRedefine/>
    <w:qFormat/>
    <w:uiPriority w:val="0"/>
    <w:pPr>
      <w:ind w:left="-540" w:right="-514" w:firstLine="540"/>
    </w:pPr>
    <w:rPr>
      <w:rFonts w:ascii="华文楷体" w:hAnsi="华文楷体" w:eastAsia="华文楷体"/>
      <w:sz w:val="30"/>
      <w:szCs w:val="30"/>
    </w:rPr>
  </w:style>
  <w:style w:type="paragraph" w:styleId="10">
    <w:name w:val="toc 3"/>
    <w:basedOn w:val="1"/>
    <w:next w:val="1"/>
    <w:semiHidden/>
    <w:unhideWhenUsed/>
    <w:qFormat/>
    <w:uiPriority w:val="39"/>
    <w:pPr>
      <w:ind w:left="840" w:leftChars="400"/>
    </w:pPr>
  </w:style>
  <w:style w:type="paragraph" w:styleId="11">
    <w:name w:val="Balloon Text"/>
    <w:basedOn w:val="1"/>
    <w:unhideWhenUsed/>
    <w:qFormat/>
    <w:uiPriority w:val="0"/>
    <w:rPr>
      <w:sz w:val="18"/>
      <w:szCs w:val="18"/>
    </w:rPr>
  </w:style>
  <w:style w:type="paragraph" w:styleId="12">
    <w:name w:val="footer"/>
    <w:basedOn w:val="1"/>
    <w:autoRedefine/>
    <w:semiHidden/>
    <w:unhideWhenUsed/>
    <w:qFormat/>
    <w:uiPriority w:val="99"/>
    <w:pPr>
      <w:tabs>
        <w:tab w:val="center" w:pos="4153"/>
        <w:tab w:val="right" w:pos="8306"/>
      </w:tabs>
      <w:snapToGrid w:val="0"/>
      <w:jc w:val="left"/>
    </w:pPr>
    <w:rPr>
      <w:sz w:val="18"/>
    </w:rPr>
  </w:style>
  <w:style w:type="paragraph" w:styleId="13">
    <w:name w:val="header"/>
    <w:basedOn w:val="1"/>
    <w:autoRedefine/>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semiHidden/>
    <w:unhideWhenUsed/>
    <w:qFormat/>
    <w:uiPriority w:val="39"/>
  </w:style>
  <w:style w:type="paragraph" w:styleId="15">
    <w:name w:val="toc 2"/>
    <w:basedOn w:val="1"/>
    <w:next w:val="1"/>
    <w:semiHidden/>
    <w:unhideWhenUsed/>
    <w:qFormat/>
    <w:uiPriority w:val="39"/>
    <w:pPr>
      <w:ind w:left="420" w:leftChars="200"/>
    </w:pPr>
  </w:style>
  <w:style w:type="paragraph" w:styleId="16">
    <w:name w:val="Normal (Web)"/>
    <w:basedOn w:val="1"/>
    <w:next w:val="1"/>
    <w:qFormat/>
    <w:uiPriority w:val="0"/>
    <w:pPr>
      <w:spacing w:before="100" w:beforeAutospacing="1" w:after="100" w:afterAutospacing="1"/>
      <w:ind w:left="0" w:right="0"/>
      <w:jc w:val="left"/>
    </w:pPr>
    <w:rPr>
      <w:kern w:val="0"/>
      <w:sz w:val="24"/>
      <w:lang w:val="en-US" w:eastAsia="zh-CN" w:bidi="ar"/>
    </w:rPr>
  </w:style>
  <w:style w:type="paragraph" w:styleId="17">
    <w:name w:val="Body Text First Indent 2"/>
    <w:basedOn w:val="8"/>
    <w:next w:val="1"/>
    <w:autoRedefine/>
    <w:qFormat/>
    <w:uiPriority w:val="0"/>
    <w:pPr>
      <w:ind w:firstLine="420" w:firstLineChars="200"/>
    </w:pPr>
  </w:style>
  <w:style w:type="table" w:styleId="19">
    <w:name w:val="Table Grid"/>
    <w:basedOn w:val="18"/>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
    <w:name w:val="标题 3 字符"/>
    <w:link w:val="4"/>
    <w:autoRedefine/>
    <w:qFormat/>
    <w:uiPriority w:val="0"/>
    <w:rPr>
      <w:rFonts w:ascii="Times New Roman" w:hAnsi="Times New Roman" w:eastAsia="仿宋" w:cs="Times New Roman"/>
      <w:b/>
      <w:color w:val="000000"/>
      <w:sz w:val="30"/>
    </w:rPr>
  </w:style>
  <w:style w:type="character" w:customStyle="1" w:styleId="22">
    <w:name w:val="标题 1 字符"/>
    <w:link w:val="2"/>
    <w:autoRedefine/>
    <w:qFormat/>
    <w:uiPriority w:val="0"/>
    <w:rPr>
      <w:rFonts w:ascii="Times New Roman" w:hAnsi="Times New Roman" w:eastAsia="仿宋" w:cs="微软雅黑"/>
      <w:b/>
      <w:color w:val="000000"/>
      <w:sz w:val="36"/>
    </w:rPr>
  </w:style>
  <w:style w:type="paragraph" w:customStyle="1" w:styleId="23">
    <w:name w:val="Default"/>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24">
    <w:name w:val="No Spacing_ad81b47b-6779-4c76-b471-79375858c8cb"/>
    <w:basedOn w:val="1"/>
    <w:next w:val="1"/>
    <w:autoRedefine/>
    <w:qFormat/>
    <w:uiPriority w:val="0"/>
    <w:pPr>
      <w:ind w:firstLine="200" w:firstLineChars="200"/>
    </w:pPr>
  </w:style>
  <w:style w:type="character" w:customStyle="1" w:styleId="25">
    <w:name w:val="标题 2 字符"/>
    <w:link w:val="3"/>
    <w:autoRedefine/>
    <w:qFormat/>
    <w:uiPriority w:val="0"/>
    <w:rPr>
      <w:rFonts w:ascii="Times New Roman" w:hAnsi="Times New Roman" w:eastAsia="仿宋" w:cs="微软雅黑"/>
      <w:b/>
      <w:color w:val="000000"/>
      <w:sz w:val="32"/>
    </w:rPr>
  </w:style>
  <w:style w:type="table" w:customStyle="1" w:styleId="26">
    <w:name w:val="TableGrid"/>
    <w:autoRedefine/>
    <w:qFormat/>
    <w:uiPriority w:val="0"/>
    <w:tblPr>
      <w:tblCellMar>
        <w:top w:w="0" w:type="dxa"/>
        <w:left w:w="0" w:type="dxa"/>
        <w:bottom w:w="0" w:type="dxa"/>
        <w:right w:w="0" w:type="dxa"/>
      </w:tblCellMar>
    </w:tblPr>
  </w:style>
  <w:style w:type="character" w:customStyle="1" w:styleId="27">
    <w:name w:val="font31"/>
    <w:basedOn w:val="20"/>
    <w:autoRedefine/>
    <w:qFormat/>
    <w:uiPriority w:val="0"/>
    <w:rPr>
      <w:rFonts w:hint="eastAsia" w:ascii="宋体" w:hAnsi="宋体" w:eastAsia="宋体" w:cs="宋体"/>
      <w:b/>
      <w:bCs/>
      <w:color w:val="000000"/>
      <w:sz w:val="20"/>
      <w:szCs w:val="20"/>
      <w:u w:val="none"/>
    </w:rPr>
  </w:style>
  <w:style w:type="table" w:customStyle="1" w:styleId="28">
    <w:name w:val="Table Normal"/>
    <w:autoRedefine/>
    <w:semiHidden/>
    <w:unhideWhenUsed/>
    <w:qFormat/>
    <w:uiPriority w:val="0"/>
    <w:tblPr>
      <w:tblCellMar>
        <w:top w:w="0" w:type="dxa"/>
        <w:left w:w="0" w:type="dxa"/>
        <w:bottom w:w="0" w:type="dxa"/>
        <w:right w:w="0" w:type="dxa"/>
      </w:tblCellMar>
    </w:tblPr>
  </w:style>
  <w:style w:type="paragraph" w:customStyle="1" w:styleId="29">
    <w:name w:val="Table Text"/>
    <w:basedOn w:val="1"/>
    <w:autoRedefine/>
    <w:semiHidden/>
    <w:qFormat/>
    <w:uiPriority w:val="0"/>
    <w:rPr>
      <w:rFonts w:ascii="仿宋" w:hAnsi="仿宋" w:eastAsia="仿宋" w:cs="仿宋"/>
      <w:sz w:val="20"/>
      <w:szCs w:val="20"/>
      <w:lang w:val="en-US" w:eastAsia="en-US" w:bidi="ar-SA"/>
    </w:rPr>
  </w:style>
  <w:style w:type="paragraph" w:customStyle="1" w:styleId="30">
    <w:name w:val="文字"/>
    <w:basedOn w:val="1"/>
    <w:qFormat/>
    <w:uiPriority w:val="0"/>
    <w:pPr>
      <w:widowControl/>
      <w:spacing w:afterLines="50" w:line="360" w:lineRule="auto"/>
      <w:ind w:firstLine="420"/>
    </w:pPr>
    <w:rPr>
      <w:sz w:val="24"/>
      <w:szCs w:val="24"/>
    </w:rPr>
  </w:style>
  <w:style w:type="paragraph" w:customStyle="1" w:styleId="31">
    <w:name w:val="WPSOffice手动目录 1"/>
    <w:qFormat/>
    <w:uiPriority w:val="0"/>
    <w:pPr>
      <w:ind w:leftChars="0"/>
    </w:pPr>
    <w:rPr>
      <w:rFonts w:ascii="Times New Roman" w:hAnsi="Times New Roman" w:eastAsia="宋体" w:cs="Times New Roman"/>
      <w:sz w:val="20"/>
      <w:szCs w:val="20"/>
    </w:rPr>
  </w:style>
  <w:style w:type="paragraph" w:customStyle="1" w:styleId="32">
    <w:name w:val="WPSOffice手动目录 2"/>
    <w:qFormat/>
    <w:uiPriority w:val="0"/>
    <w:pPr>
      <w:ind w:leftChars="200"/>
    </w:pPr>
    <w:rPr>
      <w:rFonts w:ascii="Times New Roman" w:hAnsi="Times New Roman" w:eastAsia="宋体" w:cs="Times New Roman"/>
      <w:sz w:val="20"/>
      <w:szCs w:val="20"/>
    </w:rPr>
  </w:style>
  <w:style w:type="paragraph" w:customStyle="1" w:styleId="33">
    <w:name w:val="环评一级标题"/>
    <w:basedOn w:val="1"/>
    <w:next w:val="11"/>
    <w:qFormat/>
    <w:uiPriority w:val="0"/>
    <w:pPr>
      <w:tabs>
        <w:tab w:val="left" w:pos="4540"/>
      </w:tabs>
      <w:spacing w:before="312" w:after="312"/>
      <w:jc w:val="center"/>
      <w:outlineLvl w:val="0"/>
    </w:pPr>
    <w:rPr>
      <w:rFonts w:ascii="Times New Roman" w:hAnsi="Times New Roman" w:eastAsia="黑体"/>
      <w:b/>
      <w:sz w:val="4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16.jpeg"/><Relationship Id="rId37" Type="http://schemas.openxmlformats.org/officeDocument/2006/relationships/image" Target="media/image15.png"/><Relationship Id="rId36" Type="http://schemas.openxmlformats.org/officeDocument/2006/relationships/image" Target="media/image14.jpe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jpeg"/><Relationship Id="rId32" Type="http://schemas.openxmlformats.org/officeDocument/2006/relationships/image" Target="media/image10.jpeg"/><Relationship Id="rId31" Type="http://schemas.openxmlformats.org/officeDocument/2006/relationships/image" Target="media/image9.jpeg"/><Relationship Id="rId30" Type="http://schemas.openxmlformats.org/officeDocument/2006/relationships/image" Target="media/image8.jpeg"/><Relationship Id="rId3" Type="http://schemas.openxmlformats.org/officeDocument/2006/relationships/footnotes" Target="footnotes.xml"/><Relationship Id="rId29" Type="http://schemas.openxmlformats.org/officeDocument/2006/relationships/image" Target="media/image7.jpeg"/><Relationship Id="rId28" Type="http://schemas.openxmlformats.org/officeDocument/2006/relationships/image" Target="media/image6.jpeg"/><Relationship Id="rId27" Type="http://schemas.openxmlformats.org/officeDocument/2006/relationships/image" Target="media/image5.jpeg"/><Relationship Id="rId26" Type="http://schemas.openxmlformats.org/officeDocument/2006/relationships/image" Target="media/image4.jpeg"/><Relationship Id="rId25" Type="http://schemas.openxmlformats.org/officeDocument/2006/relationships/image" Target="media/image3.png"/><Relationship Id="rId24" Type="http://schemas.openxmlformats.org/officeDocument/2006/relationships/image" Target="media/image2.jpe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5.xml"/><Relationship Id="rId17" Type="http://schemas.openxmlformats.org/officeDocument/2006/relationships/footer" Target="footer9.xml"/><Relationship Id="rId16" Type="http://schemas.openxmlformats.org/officeDocument/2006/relationships/header" Target="header4.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71</Pages>
  <Words>1247</Words>
  <Characters>1544</Characters>
  <Lines>368</Lines>
  <Paragraphs>103</Paragraphs>
  <TotalTime>7</TotalTime>
  <ScaleCrop>false</ScaleCrop>
  <LinksUpToDate>false</LinksUpToDate>
  <CharactersWithSpaces>1845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2023-12-07T01:25:00Z</dcterms:created>
  <dc:creator>my</dc:creator>
  <cp:lastModifiedBy>放纵。</cp:lastModifiedBy>
  <cp:lastPrinted>2023-12-20T03:13:00Z</cp:lastPrinted>
  <dcterms:modified xsi:type="dcterms:W3CDTF">2025-12-05T06:50:58Z</dcterms:modified>
  <dc:title>前  言</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BFADB060E086444D91EA62ACA94FEB3B_13</vt:lpwstr>
  </property>
  <property fmtid="{D5CDD505-2E9C-101B-9397-08002B2CF9AE}" pid="4" name="KSOTemplateDocerSaveRecord">
    <vt:lpwstr>eyJoZGlkIjoiN2EzNWMwYzliODg1YTNhNGZiZmVmMWNkNDY1ZDcxMWIiLCJ1c2VySWQiOiIyNTc4MjcxNjkifQ==</vt:lpwstr>
  </property>
</Properties>
</file>