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CE5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bookmarkStart w:id="0" w:name="_GoBack"/>
      <w:bookmarkEnd w:id="0"/>
    </w:p>
    <w:tbl>
      <w:tblPr>
        <w:tblStyle w:val="8"/>
        <w:tblW w:w="89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17"/>
        <w:gridCol w:w="2343"/>
        <w:gridCol w:w="2160"/>
        <w:gridCol w:w="2061"/>
      </w:tblGrid>
      <w:tr w14:paraId="7D2DA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981" w:type="dxa"/>
            <w:gridSpan w:val="4"/>
            <w:tcBorders>
              <w:top w:val="nil"/>
              <w:left w:val="nil"/>
              <w:bottom w:val="nil"/>
              <w:right w:val="nil"/>
            </w:tcBorders>
            <w:noWrap/>
            <w:vAlign w:val="center"/>
          </w:tcPr>
          <w:p w14:paraId="579BB060">
            <w:pPr>
              <w:keepNext w:val="0"/>
              <w:keepLines w:val="0"/>
              <w:widowControl/>
              <w:suppressLineNumbers w:val="0"/>
              <w:jc w:val="left"/>
              <w:textAlignment w:val="center"/>
              <w:rPr>
                <w:rFonts w:hint="default" w:ascii="黑体" w:hAnsi="宋体" w:eastAsia="黑体" w:cs="黑体"/>
                <w:i w:val="0"/>
                <w:color w:val="000000"/>
                <w:kern w:val="0"/>
                <w:sz w:val="32"/>
                <w:szCs w:val="32"/>
                <w:u w:val="none"/>
                <w:lang w:val="en-US" w:eastAsia="zh-CN" w:bidi="ar"/>
              </w:rPr>
            </w:pPr>
            <w:r>
              <w:rPr>
                <w:rFonts w:hint="default" w:ascii="黑体" w:hAnsi="宋体" w:eastAsia="黑体" w:cs="黑体"/>
                <w:i w:val="0"/>
                <w:color w:val="000000"/>
                <w:kern w:val="0"/>
                <w:sz w:val="32"/>
                <w:szCs w:val="32"/>
                <w:u w:val="none"/>
                <w:lang w:val="en-US" w:eastAsia="zh-CN" w:bidi="ar"/>
              </w:rPr>
              <w:t>附件1</w:t>
            </w:r>
          </w:p>
          <w:p w14:paraId="09281050">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方正小标宋简体" w:hAnsi="方正小标宋简体" w:eastAsia="方正小标宋简体" w:cs="方正小标宋简体"/>
                <w:i w:val="0"/>
                <w:color w:val="000000"/>
                <w:w w:val="90"/>
                <w:kern w:val="0"/>
                <w:sz w:val="36"/>
                <w:szCs w:val="36"/>
                <w:u w:val="none"/>
                <w:lang w:val="en-US" w:eastAsia="zh-CN" w:bidi="ar"/>
              </w:rPr>
              <w:t>电动自行车以旧换新回收企业申报表</w:t>
            </w:r>
          </w:p>
        </w:tc>
      </w:tr>
      <w:tr w14:paraId="404E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F7A1A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0015818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24"/>
                <w:szCs w:val="24"/>
                <w:u w:val="none"/>
              </w:rPr>
            </w:pPr>
          </w:p>
        </w:tc>
      </w:tr>
      <w:tr w14:paraId="5AD4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0C435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主要经营地址</w:t>
            </w:r>
          </w:p>
          <w:p w14:paraId="450B19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（包括占地面积）</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7289477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2523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ign w:val="center"/>
          </w:tcPr>
          <w:p w14:paraId="40DDEE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经营范围</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2BAFF1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r>
      <w:tr w14:paraId="3109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ign w:val="center"/>
          </w:tcPr>
          <w:p w14:paraId="7FB594B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统一社会信用代码</w:t>
            </w:r>
          </w:p>
        </w:tc>
        <w:tc>
          <w:tcPr>
            <w:tcW w:w="2343" w:type="dxa"/>
            <w:tcBorders>
              <w:top w:val="single" w:color="000000" w:sz="4" w:space="0"/>
              <w:left w:val="single" w:color="000000" w:sz="4" w:space="0"/>
              <w:bottom w:val="single" w:color="000000" w:sz="4" w:space="0"/>
              <w:right w:val="nil"/>
            </w:tcBorders>
            <w:noWrap w:val="0"/>
            <w:vAlign w:val="center"/>
          </w:tcPr>
          <w:p w14:paraId="1D960E1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7FBFF6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注册资金（万元）</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031393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r>
      <w:tr w14:paraId="0B9F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1990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持有资质或许可</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5C9B0D8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6D1A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03AB7C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车架及蓄电池交由哪些机构处置</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278A73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58CB0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7A631B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现有回收网点地址</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3BC0470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0EAC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ign w:val="center"/>
          </w:tcPr>
          <w:p w14:paraId="228DE8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主要回收品种</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62D8F0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r>
      <w:tr w14:paraId="0C665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28CEC78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消防验收和备案情况</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center"/>
          </w:tcPr>
          <w:p w14:paraId="5DC1AF9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129D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335473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法定代表人</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58531C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4C66F5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sz w:val="24"/>
                <w:szCs w:val="24"/>
                <w:u w:val="none"/>
                <w:lang w:eastAsia="zh-CN"/>
              </w:rPr>
              <w:t>联系电话</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A3F528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4307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E9810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企业员工总数</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6D8F23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F71FC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是否能够</w:t>
            </w:r>
            <w:r>
              <w:rPr>
                <w:rFonts w:hint="eastAsia" w:ascii="宋体" w:hAnsi="宋体" w:eastAsia="宋体" w:cs="宋体"/>
                <w:i w:val="0"/>
                <w:color w:val="000000"/>
                <w:sz w:val="24"/>
                <w:szCs w:val="24"/>
                <w:u w:val="none"/>
              </w:rPr>
              <w:t>开具收购发票（反向）</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A9EFE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4"/>
                <w:szCs w:val="24"/>
                <w:u w:val="none"/>
              </w:rPr>
            </w:pPr>
          </w:p>
        </w:tc>
      </w:tr>
      <w:tr w14:paraId="74927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5B8FE2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2023年企业销售额（万元）</w:t>
            </w:r>
          </w:p>
        </w:tc>
        <w:tc>
          <w:tcPr>
            <w:tcW w:w="2343" w:type="dxa"/>
            <w:tcBorders>
              <w:top w:val="nil"/>
              <w:left w:val="single" w:color="000000" w:sz="4" w:space="0"/>
              <w:bottom w:val="single" w:color="000000" w:sz="4" w:space="0"/>
              <w:right w:val="single" w:color="000000" w:sz="4" w:space="0"/>
            </w:tcBorders>
            <w:noWrap w:val="0"/>
            <w:vAlign w:val="center"/>
          </w:tcPr>
          <w:p w14:paraId="6F1B03E4">
            <w:pPr>
              <w:keepNext w:val="0"/>
              <w:keepLines w:val="0"/>
              <w:pageBreakBefore w:val="0"/>
              <w:widowControl/>
              <w:suppressLineNumbers w:val="0"/>
              <w:kinsoku/>
              <w:wordWrap/>
              <w:overflowPunct/>
              <w:topLinePunct w:val="0"/>
              <w:autoSpaceDE/>
              <w:autoSpaceDN/>
              <w:bidi w:val="0"/>
              <w:adjustRightInd/>
              <w:snapToGrid/>
              <w:spacing w:line="260" w:lineRule="exact"/>
              <w:ind w:firstLine="1440" w:firstLineChars="600"/>
              <w:jc w:val="both"/>
              <w:textAlignment w:val="center"/>
              <w:rPr>
                <w:rFonts w:hint="eastAsia" w:ascii="宋体" w:hAnsi="宋体" w:eastAsia="宋体" w:cs="宋体"/>
                <w:i w:val="0"/>
                <w:color w:val="000000"/>
                <w:sz w:val="24"/>
                <w:szCs w:val="24"/>
                <w:u w:val="none"/>
              </w:rPr>
            </w:pPr>
          </w:p>
        </w:tc>
        <w:tc>
          <w:tcPr>
            <w:tcW w:w="2160" w:type="dxa"/>
            <w:tcBorders>
              <w:top w:val="nil"/>
              <w:left w:val="single" w:color="000000" w:sz="4" w:space="0"/>
              <w:bottom w:val="single" w:color="000000" w:sz="4" w:space="0"/>
              <w:right w:val="single" w:color="auto" w:sz="4" w:space="0"/>
            </w:tcBorders>
            <w:noWrap w:val="0"/>
            <w:vAlign w:val="center"/>
          </w:tcPr>
          <w:p w14:paraId="3AEBFE8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2023年旧电动自行车回收量（辆）</w:t>
            </w:r>
          </w:p>
        </w:tc>
        <w:tc>
          <w:tcPr>
            <w:tcW w:w="2061" w:type="dxa"/>
            <w:tcBorders>
              <w:top w:val="nil"/>
              <w:left w:val="single" w:color="auto" w:sz="4" w:space="0"/>
              <w:bottom w:val="single" w:color="000000" w:sz="4" w:space="0"/>
              <w:right w:val="single" w:color="000000" w:sz="4" w:space="0"/>
            </w:tcBorders>
            <w:noWrap w:val="0"/>
            <w:vAlign w:val="center"/>
          </w:tcPr>
          <w:p w14:paraId="73187C0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color w:val="000000"/>
                <w:kern w:val="0"/>
                <w:sz w:val="24"/>
                <w:szCs w:val="24"/>
                <w:u w:val="none"/>
                <w:lang w:val="en-US" w:eastAsia="zh-CN" w:bidi="ar"/>
              </w:rPr>
            </w:pPr>
          </w:p>
        </w:tc>
      </w:tr>
      <w:tr w14:paraId="2C8F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6EF5C5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本次申报联系人</w:t>
            </w:r>
          </w:p>
        </w:tc>
        <w:tc>
          <w:tcPr>
            <w:tcW w:w="2343" w:type="dxa"/>
            <w:tcBorders>
              <w:top w:val="single" w:color="000000" w:sz="4" w:space="0"/>
              <w:left w:val="single" w:color="000000" w:sz="4" w:space="0"/>
              <w:bottom w:val="single" w:color="000000" w:sz="4" w:space="0"/>
              <w:right w:val="single" w:color="000000" w:sz="4" w:space="0"/>
            </w:tcBorders>
            <w:noWrap w:val="0"/>
            <w:vAlign w:val="center"/>
          </w:tcPr>
          <w:p w14:paraId="424BCFF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color w:val="000000"/>
                <w:sz w:val="24"/>
                <w:szCs w:val="24"/>
                <w:u w:val="none"/>
              </w:rPr>
            </w:pPr>
          </w:p>
        </w:tc>
        <w:tc>
          <w:tcPr>
            <w:tcW w:w="2160" w:type="dxa"/>
            <w:tcBorders>
              <w:top w:val="single" w:color="000000" w:sz="4" w:space="0"/>
              <w:left w:val="single" w:color="000000" w:sz="4" w:space="0"/>
              <w:bottom w:val="single" w:color="000000" w:sz="4" w:space="0"/>
              <w:right w:val="single" w:color="auto" w:sz="4" w:space="0"/>
            </w:tcBorders>
            <w:noWrap w:val="0"/>
            <w:vAlign w:val="center"/>
          </w:tcPr>
          <w:p w14:paraId="3E6CBCC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联系电话</w:t>
            </w:r>
          </w:p>
        </w:tc>
        <w:tc>
          <w:tcPr>
            <w:tcW w:w="2061" w:type="dxa"/>
            <w:tcBorders>
              <w:top w:val="single" w:color="000000" w:sz="4" w:space="0"/>
              <w:left w:val="single" w:color="auto" w:sz="4" w:space="0"/>
              <w:bottom w:val="single" w:color="000000" w:sz="4" w:space="0"/>
              <w:right w:val="single" w:color="000000" w:sz="4" w:space="0"/>
            </w:tcBorders>
            <w:noWrap w:val="0"/>
            <w:vAlign w:val="center"/>
          </w:tcPr>
          <w:p w14:paraId="58D1726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kern w:val="0"/>
                <w:sz w:val="24"/>
                <w:szCs w:val="24"/>
                <w:u w:val="none"/>
                <w:lang w:val="en-US" w:eastAsia="zh-CN" w:bidi="ar"/>
              </w:rPr>
            </w:pPr>
          </w:p>
        </w:tc>
      </w:tr>
      <w:tr w14:paraId="6A37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trPr>
        <w:tc>
          <w:tcPr>
            <w:tcW w:w="2417" w:type="dxa"/>
            <w:tcBorders>
              <w:top w:val="single" w:color="000000" w:sz="4" w:space="0"/>
              <w:left w:val="single" w:color="000000" w:sz="4" w:space="0"/>
              <w:bottom w:val="single" w:color="000000" w:sz="4" w:space="0"/>
              <w:right w:val="single" w:color="000000" w:sz="4" w:space="0"/>
            </w:tcBorders>
            <w:noWrap w:val="0"/>
            <w:vAlign w:val="center"/>
          </w:tcPr>
          <w:p w14:paraId="4CC06AC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4"/>
                <w:szCs w:val="24"/>
                <w:u w:val="none"/>
                <w:lang w:val="en" w:eastAsia="zh-CN"/>
              </w:rPr>
            </w:pPr>
            <w:r>
              <w:rPr>
                <w:rFonts w:hint="eastAsia" w:ascii="宋体" w:hAnsi="宋体" w:eastAsia="宋体" w:cs="宋体"/>
                <w:i w:val="0"/>
                <w:color w:val="000000"/>
                <w:sz w:val="24"/>
                <w:szCs w:val="24"/>
                <w:u w:val="none"/>
                <w:lang w:val="en" w:eastAsia="zh-CN"/>
              </w:rPr>
              <w:t>申报企业声明</w:t>
            </w:r>
          </w:p>
        </w:tc>
        <w:tc>
          <w:tcPr>
            <w:tcW w:w="6564" w:type="dxa"/>
            <w:gridSpan w:val="3"/>
            <w:tcBorders>
              <w:top w:val="single" w:color="000000" w:sz="4" w:space="0"/>
              <w:left w:val="single" w:color="000000" w:sz="4" w:space="0"/>
              <w:bottom w:val="single" w:color="000000" w:sz="4" w:space="0"/>
              <w:right w:val="single" w:color="000000" w:sz="4" w:space="0"/>
            </w:tcBorders>
            <w:noWrap w:val="0"/>
            <w:vAlign w:val="top"/>
          </w:tcPr>
          <w:p w14:paraId="66FC75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本公司自愿申报吕梁市电动自行车以旧换新回收企业，符合回收企业申报要求，以上申报内容及所附材料均真实有效，有关证照复印件与原件一致。如有违反，愿承担相应法律责任。</w:t>
            </w:r>
          </w:p>
          <w:p w14:paraId="2BCCC58F">
            <w:pPr>
              <w:keepNext w:val="0"/>
              <w:keepLines w:val="0"/>
              <w:pageBreakBefore w:val="0"/>
              <w:widowControl/>
              <w:suppressLineNumbers w:val="0"/>
              <w:kinsoku/>
              <w:wordWrap/>
              <w:overflowPunct/>
              <w:topLinePunct w:val="0"/>
              <w:autoSpaceDE/>
              <w:autoSpaceDN/>
              <w:bidi w:val="0"/>
              <w:adjustRightInd/>
              <w:snapToGrid/>
              <w:spacing w:line="300" w:lineRule="exact"/>
              <w:ind w:firstLine="1440" w:firstLineChars="60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w:t>
            </w:r>
          </w:p>
          <w:p w14:paraId="00A003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法定代表人（授权人）签字：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14:paraId="5EE0B6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（企业公章）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14:paraId="4BE17C4F">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kern w:val="0"/>
                <w:sz w:val="24"/>
                <w:szCs w:val="24"/>
                <w:u w:val="none"/>
                <w:lang w:val="en-US" w:eastAsia="zh-CN" w:bidi="ar"/>
              </w:rPr>
            </w:pPr>
          </w:p>
          <w:p w14:paraId="24B21D83">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kern w:val="0"/>
                <w:sz w:val="24"/>
                <w:szCs w:val="24"/>
                <w:u w:val="none"/>
                <w:lang w:val="en-US" w:eastAsia="zh-CN" w:bidi="ar"/>
              </w:rPr>
            </w:pPr>
          </w:p>
          <w:p w14:paraId="21DE8642">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kern w:val="0"/>
                <w:sz w:val="24"/>
                <w:szCs w:val="24"/>
                <w:u w:val="none"/>
                <w:lang w:val="en-US" w:eastAsia="zh-CN" w:bidi="ar"/>
              </w:rPr>
            </w:pPr>
          </w:p>
          <w:p w14:paraId="0FDF9D10">
            <w:pPr>
              <w:keepNext w:val="0"/>
              <w:keepLines w:val="0"/>
              <w:pageBreakBefore w:val="0"/>
              <w:widowControl/>
              <w:suppressLineNumbers w:val="0"/>
              <w:kinsoku/>
              <w:wordWrap/>
              <w:overflowPunct/>
              <w:topLinePunct w:val="0"/>
              <w:autoSpaceDE/>
              <w:autoSpaceDN/>
              <w:bidi w:val="0"/>
              <w:adjustRightInd/>
              <w:snapToGrid/>
              <w:spacing w:line="300" w:lineRule="exact"/>
              <w:ind w:firstLine="3600" w:firstLineChars="150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2024年  　月  　日       </w:t>
            </w:r>
          </w:p>
        </w:tc>
      </w:tr>
    </w:tbl>
    <w:p w14:paraId="295D30B8">
      <w:pPr>
        <w:spacing w:line="540" w:lineRule="exact"/>
        <w:rPr>
          <w:rFonts w:hint="default" w:ascii="黑体" w:hAnsi="黑体" w:eastAsia="黑体" w:cs="Times New Roman"/>
          <w:color w:val="000000"/>
          <w:lang w:val="en-US" w:eastAsia="zh-CN"/>
        </w:rPr>
      </w:pPr>
      <w:r>
        <w:rPr>
          <w:rFonts w:hint="eastAsia" w:ascii="黑体" w:hAnsi="黑体" w:eastAsia="黑体" w:cs="方正黑体_GBK"/>
          <w:color w:val="000000"/>
          <w:sz w:val="32"/>
          <w:szCs w:val="32"/>
        </w:rPr>
        <w:t>附件</w:t>
      </w:r>
      <w:r>
        <w:rPr>
          <w:rFonts w:hint="eastAsia" w:ascii="黑体" w:hAnsi="黑体" w:eastAsia="黑体" w:cs="方正黑体_GBK"/>
          <w:color w:val="000000"/>
          <w:sz w:val="32"/>
          <w:szCs w:val="32"/>
          <w:lang w:val="en-US" w:eastAsia="zh-CN"/>
        </w:rPr>
        <w:t>2</w:t>
      </w:r>
    </w:p>
    <w:p w14:paraId="0472F10C">
      <w:pPr>
        <w:pStyle w:val="7"/>
        <w:spacing w:line="540" w:lineRule="exact"/>
        <w:ind w:left="0" w:leftChars="0" w:firstLine="0" w:firstLineChars="0"/>
        <w:rPr>
          <w:rFonts w:hint="eastAsia" w:ascii="方正小标宋简体" w:hAnsi="方正小标宋简体" w:eastAsia="方正小标宋简体" w:cs="方正小标宋简体"/>
          <w:color w:val="000000"/>
          <w:sz w:val="44"/>
          <w:szCs w:val="44"/>
          <w:lang w:eastAsia="zh-CN"/>
        </w:rPr>
      </w:pPr>
    </w:p>
    <w:p w14:paraId="0CD8C97E">
      <w:pPr>
        <w:pStyle w:val="7"/>
        <w:spacing w:line="540" w:lineRule="exact"/>
        <w:ind w:left="0" w:leftChars="0" w:firstLine="0" w:firstLineChars="0"/>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电动自行车以旧换新回收企业</w:t>
      </w:r>
      <w:r>
        <w:rPr>
          <w:rFonts w:hint="eastAsia" w:ascii="宋体" w:hAnsi="宋体" w:eastAsia="宋体" w:cs="宋体"/>
          <w:b/>
          <w:bCs/>
          <w:color w:val="000000"/>
          <w:sz w:val="44"/>
          <w:szCs w:val="44"/>
        </w:rPr>
        <w:t>承诺书</w:t>
      </w:r>
    </w:p>
    <w:p w14:paraId="1D624D02">
      <w:pPr>
        <w:pStyle w:val="7"/>
        <w:spacing w:line="540" w:lineRule="exact"/>
        <w:ind w:left="0" w:leftChars="0" w:firstLine="0" w:firstLineChars="0"/>
        <w:jc w:val="both"/>
        <w:rPr>
          <w:rFonts w:hint="eastAsia" w:ascii="仿宋_GB2312" w:hAnsi="仿宋_GB2312" w:eastAsia="仿宋_GB2312" w:cs="仿宋_GB2312"/>
          <w:color w:val="000000"/>
          <w:sz w:val="32"/>
          <w:lang w:eastAsia="zh-CN"/>
        </w:rPr>
      </w:pPr>
    </w:p>
    <w:p w14:paraId="59582F7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我</w:t>
      </w:r>
      <w:r>
        <w:rPr>
          <w:rFonts w:hint="eastAsia" w:ascii="仿宋_GB2312" w:hAnsi="宋体" w:eastAsia="仿宋_GB2312" w:cs="仿宋_GB2312"/>
          <w:color w:val="000000"/>
          <w:sz w:val="32"/>
          <w:szCs w:val="32"/>
          <w:shd w:val="clear" w:color="auto" w:fill="FFFFFF"/>
        </w:rPr>
        <w:t>公司</w:t>
      </w:r>
      <w:r>
        <w:rPr>
          <w:rFonts w:ascii="仿宋_GB2312" w:hAnsi="宋体" w:eastAsia="仿宋_GB2312" w:cs="仿宋_GB2312"/>
          <w:color w:val="000000"/>
          <w:sz w:val="32"/>
          <w:szCs w:val="32"/>
          <w:shd w:val="clear" w:color="auto" w:fill="FFFFFF"/>
        </w:rPr>
        <w:t>就参加</w:t>
      </w:r>
      <w:r>
        <w:rPr>
          <w:rFonts w:hint="eastAsia" w:ascii="仿宋_GB2312" w:hAnsi="宋体" w:eastAsia="仿宋_GB2312" w:cs="仿宋_GB2312"/>
          <w:color w:val="000000"/>
          <w:sz w:val="32"/>
          <w:szCs w:val="32"/>
          <w:shd w:val="clear" w:color="auto" w:fill="FFFFFF"/>
          <w:lang w:eastAsia="zh-CN"/>
        </w:rPr>
        <w:t>电动自行车</w:t>
      </w:r>
      <w:r>
        <w:rPr>
          <w:rFonts w:hint="eastAsia" w:ascii="仿宋_GB2312" w:hAnsi="宋体" w:eastAsia="仿宋_GB2312" w:cs="仿宋_GB2312"/>
          <w:color w:val="000000"/>
          <w:sz w:val="32"/>
          <w:szCs w:val="32"/>
          <w:shd w:val="clear" w:color="auto" w:fill="FFFFFF"/>
        </w:rPr>
        <w:t>以旧换新活动，郑重承诺</w:t>
      </w:r>
      <w:r>
        <w:rPr>
          <w:rFonts w:hint="eastAsia" w:ascii="仿宋_GB2312" w:hAnsi="宋体" w:eastAsia="仿宋_GB2312" w:cs="仿宋_GB2312"/>
          <w:color w:val="000000"/>
          <w:sz w:val="32"/>
          <w:szCs w:val="32"/>
          <w:shd w:val="clear" w:color="auto" w:fill="FFFFFF"/>
          <w:lang w:eastAsia="zh-CN"/>
        </w:rPr>
        <w:t>如下</w:t>
      </w:r>
      <w:r>
        <w:rPr>
          <w:rFonts w:hint="eastAsia" w:ascii="仿宋_GB2312" w:hAnsi="宋体" w:eastAsia="仿宋_GB2312" w:cs="仿宋_GB2312"/>
          <w:color w:val="000000"/>
          <w:sz w:val="32"/>
          <w:szCs w:val="32"/>
          <w:shd w:val="clear" w:color="auto" w:fill="FFFFFF"/>
        </w:rPr>
        <w:t>：</w:t>
      </w:r>
    </w:p>
    <w:p w14:paraId="61B16F15">
      <w:pPr>
        <w:keepNext w:val="0"/>
        <w:keepLines w:val="0"/>
        <w:pageBreakBefore w:val="0"/>
        <w:numPr>
          <w:ilvl w:val="0"/>
          <w:numId w:val="0"/>
        </w:numPr>
        <w:kinsoku/>
        <w:wordWrap/>
        <w:overflowPunct/>
        <w:topLinePunct w:val="0"/>
        <w:autoSpaceDE/>
        <w:autoSpaceDN/>
        <w:bidi w:val="0"/>
        <w:adjustRightInd/>
        <w:snapToGrid/>
        <w:spacing w:line="576" w:lineRule="exact"/>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　　１</w:t>
      </w:r>
      <w:r>
        <w:rPr>
          <w:rFonts w:hint="default" w:ascii="仿宋_GB2312" w:hAnsi="Calibri" w:eastAsia="仿宋_GB2312" w:cs="Times New Roman"/>
          <w:color w:val="000000"/>
          <w:sz w:val="32"/>
          <w:szCs w:val="32"/>
          <w:lang w:val="en" w:eastAsia="zh-CN"/>
        </w:rPr>
        <w:t>.</w:t>
      </w:r>
      <w:r>
        <w:rPr>
          <w:rFonts w:hint="eastAsia" w:ascii="仿宋_GB2312" w:hAnsi="Calibri" w:eastAsia="仿宋_GB2312" w:cs="Times New Roman"/>
          <w:color w:val="000000"/>
          <w:sz w:val="32"/>
          <w:szCs w:val="32"/>
          <w:lang w:val="en-US" w:eastAsia="zh-CN"/>
        </w:rPr>
        <w:t>主动公布电动自行车、车载蓄电池的回收价格，不蓄意压低回收价格，公平开展市场竞争，不与其它回收企业蓄意联合压价。</w:t>
      </w:r>
    </w:p>
    <w:p w14:paraId="2D382CF6">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2.</w:t>
      </w:r>
      <w:r>
        <w:rPr>
          <w:rFonts w:hint="eastAsia" w:ascii="仿宋_GB2312" w:hAnsi="Calibri" w:eastAsia="仿宋_GB2312" w:cs="Times New Roman"/>
          <w:color w:val="000000"/>
          <w:sz w:val="32"/>
          <w:szCs w:val="32"/>
          <w:lang w:val="en-US" w:eastAsia="zh-CN"/>
        </w:rPr>
        <w:t>积极扩大回收网点，与政府部门确定的电动自行车销售主体开展回收协作，对销售门店暂存放的以锂离子蓄电池为动力的老旧电动自行车，实现“一日一清”，及时运送至指定地点安全存放，严禁在居民住宅、人员密集场所等场所违规储存。</w:t>
      </w:r>
    </w:p>
    <w:p w14:paraId="575DE44C">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Calibri" w:eastAsia="仿宋_GB2312" w:cs="Times New Roman"/>
          <w:color w:val="000000"/>
          <w:sz w:val="32"/>
          <w:szCs w:val="32"/>
          <w:lang w:val="en" w:eastAsia="zh-CN"/>
        </w:rPr>
      </w:pPr>
      <w:r>
        <w:rPr>
          <w:rFonts w:hint="default" w:ascii="仿宋_GB2312" w:hAnsi="Calibri" w:eastAsia="仿宋_GB2312" w:cs="Times New Roman"/>
          <w:color w:val="000000"/>
          <w:sz w:val="32"/>
          <w:szCs w:val="32"/>
          <w:lang w:val="en" w:eastAsia="zh-CN"/>
        </w:rPr>
        <w:t>３.严格按行业规范开展回收拆解，若自身未取得相关资质或证可，电动自行车车架必须交由持有《报废机动车回收拆解企业资质认定证书》的企业处置，电动自行车动力蓄电池必须交由持有《报废机动车回收拆解企业资质认定证书》（经营范围包含新能源汽车回收拆解业务）或《危险废物经营许可证》的企业处置。</w:t>
      </w:r>
    </w:p>
    <w:p w14:paraId="6249B94B">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Calibri" w:eastAsia="仿宋_GB2312" w:cs="Times New Roman"/>
          <w:color w:val="000000"/>
          <w:sz w:val="32"/>
          <w:szCs w:val="32"/>
          <w:lang w:val="en" w:eastAsia="zh-CN"/>
        </w:rPr>
      </w:pPr>
      <w:r>
        <w:rPr>
          <w:rFonts w:hint="default" w:ascii="仿宋_GB2312" w:hAnsi="Calibri" w:eastAsia="仿宋_GB2312" w:cs="Times New Roman"/>
          <w:color w:val="000000"/>
          <w:sz w:val="32"/>
          <w:szCs w:val="32"/>
          <w:lang w:val="en" w:eastAsia="zh-CN"/>
        </w:rPr>
        <w:t>4.对回收的电动自行车车架号、车牌号、回收来源、投售人、是否含电池等相关信息进行登记造册，逐车建立完整的回收、储运、拆解、转运等全流程管理档案。</w:t>
      </w:r>
    </w:p>
    <w:p w14:paraId="6C9856A6">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5.</w:t>
      </w:r>
      <w:r>
        <w:rPr>
          <w:rFonts w:hint="eastAsia" w:ascii="仿宋_GB2312" w:hAnsi="Calibri" w:eastAsia="仿宋_GB2312" w:cs="Times New Roman"/>
          <w:color w:val="000000"/>
          <w:sz w:val="32"/>
          <w:szCs w:val="32"/>
          <w:lang w:val="en-US" w:eastAsia="zh-CN"/>
        </w:rPr>
        <w:t>回收的电动自行车车架、蓄电池全部按报废流程处理，严禁流入二手市场、改装黑作坊和骗补。</w:t>
      </w:r>
    </w:p>
    <w:p w14:paraId="6F459BC5">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6.</w:t>
      </w:r>
      <w:r>
        <w:rPr>
          <w:rFonts w:hint="eastAsia" w:ascii="仿宋_GB2312" w:hAnsi="Calibri" w:eastAsia="仿宋_GB2312" w:cs="Times New Roman"/>
          <w:color w:val="000000"/>
          <w:sz w:val="32"/>
          <w:szCs w:val="32"/>
          <w:lang w:val="en-US" w:eastAsia="zh-CN"/>
        </w:rPr>
        <w:t>配备相应的人员和设施设备，具备承担以旧换新活动服务能力。积极主动与服务平台（中国银联山西省分公司）进行对接，完成前期准备工作。服务平台投入使用后及时准确录入、提交相关资料。</w:t>
      </w:r>
    </w:p>
    <w:p w14:paraId="258E5E1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7.</w:t>
      </w:r>
      <w:r>
        <w:rPr>
          <w:rFonts w:hint="eastAsia" w:ascii="仿宋_GB2312" w:hAnsi="仿宋_GB2312" w:eastAsia="仿宋_GB2312" w:cs="仿宋_GB2312"/>
          <w:snapToGrid/>
          <w:color w:val="auto"/>
          <w:kern w:val="2"/>
          <w:sz w:val="32"/>
          <w:szCs w:val="32"/>
          <w:highlight w:val="none"/>
          <w:lang w:val="en-US" w:eastAsia="zh-CN"/>
        </w:rPr>
        <w:t>按照消防安全管理规定要求配置消防设施、器材，设置消防安全标志，并定期组织检验、维修。</w:t>
      </w:r>
      <w:r>
        <w:rPr>
          <w:rFonts w:hint="eastAsia" w:ascii="仿宋_GB2312" w:hAnsi="Calibri" w:eastAsia="仿宋_GB2312" w:cs="Times New Roman"/>
          <w:color w:val="000000"/>
          <w:sz w:val="32"/>
          <w:szCs w:val="32"/>
          <w:lang w:val="en-US" w:eastAsia="zh-CN"/>
        </w:rPr>
        <w:t>严防回收的老旧电动自行车及蓄电池运输工具、存放及拆解场所发生火灾事故。</w:t>
      </w:r>
    </w:p>
    <w:p w14:paraId="6E6838FA">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default" w:ascii="仿宋_GB2312" w:hAnsi="Calibri" w:eastAsia="仿宋_GB2312" w:cs="Times New Roman"/>
          <w:color w:val="000000"/>
          <w:sz w:val="32"/>
          <w:szCs w:val="32"/>
          <w:lang w:val="en" w:eastAsia="zh-CN"/>
        </w:rPr>
        <w:t>8.</w:t>
      </w:r>
      <w:r>
        <w:rPr>
          <w:rFonts w:hint="eastAsia" w:ascii="仿宋_GB2312" w:hAnsi="Calibri" w:eastAsia="仿宋_GB2312" w:cs="Times New Roman"/>
          <w:color w:val="000000"/>
          <w:sz w:val="32"/>
          <w:szCs w:val="32"/>
          <w:lang w:val="en-US" w:eastAsia="zh-CN"/>
        </w:rPr>
        <w:t>自觉接受监管部门监督检查，配合有关部门开展检查、审计等，及时按有关部门要求报告情况。</w:t>
      </w:r>
    </w:p>
    <w:p w14:paraId="4EC9B21E">
      <w:pPr>
        <w:pStyle w:val="11"/>
        <w:keepNext w:val="0"/>
        <w:keepLines w:val="0"/>
        <w:pageBreakBefore w:val="0"/>
        <w:kinsoku/>
        <w:wordWrap/>
        <w:overflowPunct/>
        <w:topLinePunct w:val="0"/>
        <w:autoSpaceDE/>
        <w:autoSpaceDN/>
        <w:bidi w:val="0"/>
        <w:adjustRightInd/>
        <w:snapToGrid/>
        <w:spacing w:line="576" w:lineRule="exact"/>
        <w:ind w:firstLine="640"/>
        <w:textAlignment w:val="auto"/>
        <w:rPr>
          <w:rFonts w:hint="eastAsia"/>
          <w:color w:val="000000"/>
        </w:rPr>
      </w:pPr>
    </w:p>
    <w:p w14:paraId="1D942103">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CESI仿宋-GB2312" w:eastAsia="仿宋_GB2312" w:cs="CESI仿宋-GB2312"/>
          <w:color w:val="000000"/>
          <w:sz w:val="32"/>
          <w:szCs w:val="32"/>
        </w:rPr>
      </w:pPr>
    </w:p>
    <w:p w14:paraId="2A191F08">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 xml:space="preserve">法定代表人签字：           </w:t>
      </w:r>
    </w:p>
    <w:p w14:paraId="0A77FC3C">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p>
    <w:p w14:paraId="2AA8297E">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承诺单位：（公章）</w:t>
      </w:r>
    </w:p>
    <w:p w14:paraId="05564168">
      <w:pPr>
        <w:pStyle w:val="4"/>
        <w:rPr>
          <w:rFonts w:hint="eastAsia" w:ascii="仿宋_GB2312" w:hAnsi="CESI仿宋-GB2312" w:eastAsia="仿宋_GB2312" w:cs="CESI仿宋-GB2312"/>
          <w:color w:val="000000"/>
          <w:sz w:val="32"/>
          <w:szCs w:val="32"/>
        </w:rPr>
      </w:pPr>
    </w:p>
    <w:p w14:paraId="1D560522">
      <w:pPr>
        <w:pStyle w:val="4"/>
        <w:rPr>
          <w:rFonts w:hint="eastAsia" w:ascii="仿宋_GB2312" w:hAnsi="CESI仿宋-GB2312" w:eastAsia="仿宋_GB2312" w:cs="CESI仿宋-GB2312"/>
          <w:color w:val="000000"/>
          <w:sz w:val="32"/>
          <w:szCs w:val="32"/>
        </w:rPr>
      </w:pPr>
    </w:p>
    <w:p w14:paraId="2D2421EE">
      <w:pPr>
        <w:pStyle w:val="4"/>
        <w:rPr>
          <w:rFonts w:hint="eastAsia" w:ascii="仿宋_GB2312" w:hAnsi="CESI仿宋-GB2312" w:eastAsia="仿宋_GB2312" w:cs="CESI仿宋-GB2312"/>
          <w:color w:val="000000"/>
          <w:sz w:val="32"/>
          <w:szCs w:val="32"/>
        </w:rPr>
      </w:pPr>
    </w:p>
    <w:p w14:paraId="418381F3">
      <w:pPr>
        <w:pStyle w:val="4"/>
        <w:rPr>
          <w:rFonts w:hint="eastAsia" w:ascii="仿宋_GB2312" w:hAnsi="CESI仿宋-GB2312" w:eastAsia="仿宋_GB2312" w:cs="CESI仿宋-GB2312"/>
          <w:color w:val="000000"/>
          <w:sz w:val="32"/>
          <w:szCs w:val="32"/>
        </w:rPr>
      </w:pPr>
    </w:p>
    <w:p w14:paraId="5CE938B0">
      <w:pPr>
        <w:pStyle w:val="4"/>
        <w:rPr>
          <w:rFonts w:hint="eastAsia" w:ascii="仿宋_GB2312" w:hAnsi="CESI仿宋-GB2312" w:eastAsia="仿宋_GB2312" w:cs="CESI仿宋-GB2312"/>
          <w:color w:val="000000"/>
          <w:sz w:val="32"/>
          <w:szCs w:val="32"/>
        </w:rPr>
      </w:pPr>
    </w:p>
    <w:p w14:paraId="05EB5FAF">
      <w:pPr>
        <w:pStyle w:val="4"/>
        <w:rPr>
          <w:rFonts w:hint="eastAsia" w:ascii="仿宋_GB2312" w:hAnsi="CESI仿宋-GB2312" w:eastAsia="仿宋_GB2312" w:cs="CESI仿宋-GB2312"/>
          <w:color w:val="000000"/>
          <w:sz w:val="32"/>
          <w:szCs w:val="32"/>
        </w:rPr>
      </w:pPr>
    </w:p>
    <w:p w14:paraId="0E033654">
      <w:pPr>
        <w:pStyle w:val="4"/>
        <w:rPr>
          <w:rFonts w:hint="eastAsia" w:ascii="仿宋_GB2312" w:hAnsi="CESI仿宋-GB2312" w:eastAsia="仿宋_GB2312" w:cs="CESI仿宋-GB2312"/>
          <w:color w:val="000000"/>
          <w:sz w:val="32"/>
          <w:szCs w:val="32"/>
        </w:rPr>
      </w:pPr>
    </w:p>
    <w:p w14:paraId="5AC08120">
      <w:pPr>
        <w:spacing w:line="540" w:lineRule="exact"/>
        <w:rPr>
          <w:rFonts w:hint="default" w:ascii="黑体" w:hAnsi="黑体" w:eastAsia="黑体" w:cs="方正黑体_GBK"/>
          <w:color w:val="000000"/>
          <w:sz w:val="32"/>
          <w:szCs w:val="32"/>
          <w:lang w:val="en-US" w:eastAsia="zh-CN"/>
        </w:rPr>
      </w:pPr>
      <w:r>
        <w:rPr>
          <w:rFonts w:hint="eastAsia" w:ascii="黑体" w:hAnsi="黑体" w:eastAsia="黑体" w:cs="方正黑体_GBK"/>
          <w:color w:val="000000"/>
          <w:sz w:val="32"/>
          <w:szCs w:val="32"/>
          <w:lang w:val="en-US" w:eastAsia="zh-CN"/>
        </w:rPr>
        <w:t>附件3</w:t>
      </w:r>
    </w:p>
    <w:p w14:paraId="1FC0A74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2024年汾阳市电动自行车以旧换新活动</w:t>
      </w:r>
    </w:p>
    <w:p w14:paraId="4579A77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销售主体承诺书</w:t>
      </w:r>
    </w:p>
    <w:p w14:paraId="72C65CB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户品牌:</w:t>
      </w:r>
      <w:r>
        <w:rPr>
          <w:rFonts w:hint="eastAsia" w:ascii="仿宋_GB2312" w:hAnsi="仿宋_GB2312" w:eastAsia="仿宋_GB2312" w:cs="仿宋_GB2312"/>
          <w:sz w:val="32"/>
          <w:szCs w:val="32"/>
          <w:lang w:val="en-US" w:eastAsia="zh-CN"/>
        </w:rPr>
        <w:t xml:space="preserve">      ）申请参加2024年吕梁市</w:t>
      </w:r>
      <w:r>
        <w:rPr>
          <w:rFonts w:hint="eastAsia" w:ascii="仿宋_GB2312" w:hAnsi="仿宋_GB2312" w:eastAsia="仿宋_GB2312" w:cs="仿宋_GB2312"/>
          <w:sz w:val="32"/>
          <w:szCs w:val="32"/>
          <w:lang w:eastAsia="zh-CN"/>
        </w:rPr>
        <w:t>汾阳市电动自行车以旧换新</w:t>
      </w:r>
      <w:r>
        <w:rPr>
          <w:rFonts w:hint="eastAsia" w:ascii="仿宋_GB2312" w:hAnsi="仿宋_GB2312" w:eastAsia="仿宋_GB2312" w:cs="仿宋_GB2312"/>
          <w:sz w:val="32"/>
          <w:szCs w:val="32"/>
        </w:rPr>
        <w:t>专项活动。并</w:t>
      </w:r>
      <w:r>
        <w:rPr>
          <w:rFonts w:hint="eastAsia" w:ascii="仿宋_GB2312" w:hAnsi="仿宋_GB2312" w:eastAsia="仿宋_GB2312" w:cs="仿宋_GB2312"/>
          <w:sz w:val="32"/>
          <w:szCs w:val="32"/>
          <w:lang w:eastAsia="zh-CN"/>
        </w:rPr>
        <w:t>郑重</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如下：</w:t>
      </w:r>
    </w:p>
    <w:p w14:paraId="48370C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真实、完整、准确，如提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错误或虚假的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将承担全部责任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括</w:t>
      </w:r>
      <w:r>
        <w:rPr>
          <w:rFonts w:hint="eastAsia" w:ascii="仿宋_GB2312" w:hAnsi="仿宋_GB2312" w:eastAsia="仿宋_GB2312" w:cs="仿宋_GB2312"/>
          <w:sz w:val="32"/>
          <w:szCs w:val="32"/>
        </w:rPr>
        <w:t>但不限于本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无法获得</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贴资金招</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损失等各类情形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，且如因</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的前述行为对政</w:t>
      </w:r>
      <w:r>
        <w:rPr>
          <w:rFonts w:hint="eastAsia" w:ascii="仿宋_GB2312" w:hAnsi="仿宋_GB2312" w:eastAsia="仿宋_GB2312" w:cs="仿宋_GB2312"/>
          <w:sz w:val="32"/>
          <w:szCs w:val="32"/>
          <w:lang w:eastAsia="zh-CN"/>
        </w:rPr>
        <w:t>策实施</w:t>
      </w:r>
      <w:r>
        <w:rPr>
          <w:rFonts w:hint="eastAsia" w:ascii="仿宋_GB2312" w:hAnsi="仿宋_GB2312" w:eastAsia="仿宋_GB2312" w:cs="仿宋_GB2312"/>
          <w:sz w:val="32"/>
          <w:szCs w:val="32"/>
        </w:rPr>
        <w:t>部门和服</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成的任何损失，本</w:t>
      </w:r>
      <w:r>
        <w:rPr>
          <w:rFonts w:hint="eastAsia" w:ascii="仿宋_GB2312" w:hAnsi="仿宋_GB2312" w:eastAsia="仿宋_GB2312" w:cs="仿宋_GB2312"/>
          <w:sz w:val="32"/>
          <w:szCs w:val="32"/>
          <w:lang w:eastAsia="zh-CN"/>
        </w:rPr>
        <w:t>销售主体将</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赔偿</w:t>
      </w:r>
      <w:r>
        <w:rPr>
          <w:rFonts w:hint="eastAsia" w:ascii="仿宋_GB2312" w:hAnsi="仿宋_GB2312" w:eastAsia="仿宋_GB2312" w:cs="仿宋_GB2312"/>
          <w:sz w:val="32"/>
          <w:szCs w:val="32"/>
        </w:rPr>
        <w:t>责任。</w:t>
      </w:r>
    </w:p>
    <w:p w14:paraId="1B6A49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支持受理服务机构平台支付，在规定时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内与服务机构完成对接，积极配合政策实施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补贴政策宣传，并在收银台以明显方式露出政策信息受理标识，即可参与</w:t>
      </w:r>
      <w:r>
        <w:rPr>
          <w:rFonts w:hint="eastAsia" w:ascii="仿宋_GB2312" w:hAnsi="仿宋_GB2312" w:eastAsia="仿宋_GB2312" w:cs="仿宋_GB2312"/>
          <w:sz w:val="32"/>
          <w:szCs w:val="32"/>
          <w:lang w:eastAsia="zh-CN"/>
        </w:rPr>
        <w:t>汾阳市电动自行车以旧换新</w:t>
      </w:r>
      <w:r>
        <w:rPr>
          <w:rFonts w:hint="eastAsia" w:ascii="仿宋_GB2312" w:hAnsi="仿宋_GB2312" w:eastAsia="仿宋_GB2312" w:cs="仿宋_GB2312"/>
          <w:sz w:val="32"/>
          <w:szCs w:val="32"/>
        </w:rPr>
        <w:t>专项活动。</w:t>
      </w:r>
    </w:p>
    <w:p w14:paraId="32BC01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和服务机构要求在政策开展前组织对门店</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rPr>
        <w:t>员进行培训，确保店员能够正确</w:t>
      </w:r>
      <w:r>
        <w:rPr>
          <w:rFonts w:hint="eastAsia" w:ascii="仿宋_GB2312" w:hAnsi="仿宋_GB2312" w:eastAsia="仿宋_GB2312" w:cs="仿宋_GB2312"/>
          <w:sz w:val="32"/>
          <w:szCs w:val="32"/>
          <w:lang w:eastAsia="zh-CN"/>
        </w:rPr>
        <w:t>回</w:t>
      </w:r>
      <w:r>
        <w:rPr>
          <w:rFonts w:hint="eastAsia" w:ascii="仿宋_GB2312" w:hAnsi="仿宋_GB2312" w:eastAsia="仿宋_GB2312" w:cs="仿宋_GB2312"/>
          <w:sz w:val="32"/>
          <w:szCs w:val="32"/>
        </w:rPr>
        <w:t>答消费者有关活动内容的咨询，对消费者在参与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到的问题提供必要的帮助。</w:t>
      </w:r>
    </w:p>
    <w:p w14:paraId="3F50E5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指定专人负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处理包括但不限于日</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沟通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宣传推厂、客户投诉等</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专项活动中涉及的各项</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w:t>
      </w:r>
    </w:p>
    <w:p w14:paraId="555980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5.承</w:t>
      </w:r>
      <w:r>
        <w:rPr>
          <w:rFonts w:hint="eastAsia" w:ascii="仿宋_GB2312" w:hAnsi="仿宋_GB2312" w:eastAsia="仿宋_GB2312" w:cs="仿宋_GB2312"/>
          <w:sz w:val="32"/>
          <w:szCs w:val="32"/>
        </w:rPr>
        <w:t>诺做好对参与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专项活动消费者的服务和受理工作，不增设任何参加</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专项活动附加条件，不降低服务水</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和质量，不得以</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专项活动为由拒绝“七天无理由退货”等消费者合法诉求；除政策实施部门或服务机构另有要求外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eastAsia="zh-CN"/>
        </w:rPr>
        <w:t>擅</w:t>
      </w:r>
      <w:r>
        <w:rPr>
          <w:rFonts w:hint="eastAsia" w:ascii="仿宋_GB2312" w:hAnsi="仿宋_GB2312" w:eastAsia="仿宋_GB2312" w:cs="仿宋_GB2312"/>
          <w:sz w:val="32"/>
          <w:szCs w:val="32"/>
        </w:rPr>
        <w:t>自拒绝或限定时问段受理涉及</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 xml:space="preserve">专项活动的交易。 </w:t>
      </w:r>
    </w:p>
    <w:p w14:paraId="25CDAB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w:t>
      </w: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据政策实施部门要求，</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范</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范围，杜绝各种</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利套现行为。全力配合政策实施部门及服务机构相关套利套现防</w:t>
      </w:r>
      <w:r>
        <w:rPr>
          <w:rFonts w:hint="eastAsia" w:ascii="仿宋_GB2312" w:hAnsi="仿宋_GB2312" w:eastAsia="仿宋_GB2312" w:cs="仿宋_GB2312"/>
          <w:sz w:val="32"/>
          <w:szCs w:val="32"/>
          <w:lang w:eastAsia="zh-CN"/>
        </w:rPr>
        <w:t>控措</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CN"/>
        </w:rPr>
        <w:t>严格审核</w:t>
      </w:r>
      <w:r>
        <w:rPr>
          <w:rFonts w:hint="eastAsia" w:ascii="仿宋_GB2312" w:hAnsi="仿宋_GB2312" w:eastAsia="仿宋_GB2312" w:cs="仿宋_GB2312"/>
          <w:sz w:val="32"/>
          <w:szCs w:val="32"/>
        </w:rPr>
        <w:t>消费者的参与资格，预防并制止“黄牛”等恶意套利套现行为，对于疑似“黄牛”等企图套利人员采取警告</w:t>
      </w:r>
      <w:r>
        <w:rPr>
          <w:rFonts w:hint="eastAsia" w:ascii="仿宋_GB2312" w:hAnsi="仿宋_GB2312" w:eastAsia="仿宋_GB2312" w:cs="仿宋_GB2312"/>
          <w:sz w:val="32"/>
          <w:szCs w:val="32"/>
          <w:lang w:eastAsia="zh-CN"/>
        </w:rPr>
        <w:t>、劝</w:t>
      </w:r>
      <w:r>
        <w:rPr>
          <w:rFonts w:hint="eastAsia" w:ascii="仿宋_GB2312" w:hAnsi="仿宋_GB2312" w:eastAsia="仿宋_GB2312" w:cs="仿宋_GB2312"/>
          <w:sz w:val="32"/>
          <w:szCs w:val="32"/>
        </w:rPr>
        <w:t>返、报警等及时有效的防控措施。若本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未落实前述要求，将承担由此导致的资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 xml:space="preserve">损失。 </w:t>
      </w:r>
    </w:p>
    <w:p w14:paraId="262CBD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7.承诺诚信经营</w:t>
      </w:r>
      <w:r>
        <w:rPr>
          <w:rFonts w:hint="eastAsia" w:ascii="仿宋_GB2312" w:hAnsi="仿宋_GB2312" w:eastAsia="仿宋_GB2312" w:cs="仿宋_GB2312"/>
          <w:sz w:val="32"/>
          <w:szCs w:val="32"/>
          <w:lang w:eastAsia="zh-CN"/>
        </w:rPr>
        <w:t>，参与以旧换新补贴的车型销售价格不高于政策实施前一个月同款产品的最低成交价格，活动期间保持价格稳定，接受消费者监督。</w:t>
      </w:r>
      <w:r>
        <w:rPr>
          <w:rFonts w:hint="eastAsia" w:ascii="仿宋_GB2312" w:hAnsi="仿宋_GB2312" w:eastAsia="仿宋_GB2312" w:cs="仿宋_GB2312"/>
          <w:sz w:val="32"/>
          <w:szCs w:val="32"/>
        </w:rPr>
        <w:t>承诺提供的商品或服务内容符合国家法律法规和行业要求，对提供商品、服务的品质依法承担保证责任。因本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提供的服务及产品问题或未根据要求实施政策而引发的客户退换货、投诉和争议等，由本</w:t>
      </w:r>
      <w:r>
        <w:rPr>
          <w:rFonts w:hint="eastAsia" w:ascii="仿宋_GB2312" w:hAnsi="仿宋_GB2312" w:eastAsia="仿宋_GB2312" w:cs="仿宋_GB2312"/>
          <w:sz w:val="32"/>
          <w:szCs w:val="32"/>
          <w:lang w:eastAsia="zh-CN"/>
        </w:rPr>
        <w:t>销售主体负</w:t>
      </w:r>
      <w:r>
        <w:rPr>
          <w:rFonts w:hint="eastAsia" w:ascii="仿宋_GB2312" w:hAnsi="仿宋_GB2312" w:eastAsia="仿宋_GB2312" w:cs="仿宋_GB2312"/>
          <w:sz w:val="32"/>
          <w:szCs w:val="32"/>
        </w:rPr>
        <w:t>责解决，妥善安抚并依法赔偿消费者由此造成的相关损失，保护消费者权益。对于涉及本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的其他投诉及纠纷事宜，将第一时间</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动配合关联方予以处理。若发生媒体投诉，将及时联络政策实施部门、服务机构相关工作人员，达成处置共识后，由双方按统一口径回应媒体，避免不良影响扩大化。</w:t>
      </w:r>
    </w:p>
    <w:p w14:paraId="27586B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承诺积极配合开展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专项活动宣传，利用店内语音</w:t>
      </w:r>
      <w:r>
        <w:rPr>
          <w:rFonts w:hint="eastAsia" w:ascii="仿宋_GB2312" w:hAnsi="仿宋_GB2312" w:eastAsia="仿宋_GB2312" w:cs="仿宋_GB2312"/>
          <w:sz w:val="32"/>
          <w:szCs w:val="32"/>
          <w:lang w:eastAsia="zh-CN"/>
        </w:rPr>
        <w:t>播报</w:t>
      </w:r>
      <w:r>
        <w:rPr>
          <w:rFonts w:hint="eastAsia" w:ascii="仿宋_GB2312" w:hAnsi="仿宋_GB2312" w:eastAsia="仿宋_GB2312" w:cs="仿宋_GB2312"/>
          <w:sz w:val="32"/>
          <w:szCs w:val="32"/>
        </w:rPr>
        <w:t>、张贴海报、收银员导购员宣传等店内渠</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开展全方位宣传。</w:t>
      </w:r>
    </w:p>
    <w:p w14:paraId="6D2F1792">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承诺在</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专项活动过程中，根据政策实施部门和服务机构要求通过平台上传相关资料及销售数据，包括但不限</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及时提供参与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专项活动的交易的具体消费清单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明细，销</w:t>
      </w:r>
      <w:r>
        <w:rPr>
          <w:rFonts w:hint="eastAsia" w:ascii="仿宋_GB2312" w:hAnsi="仿宋_GB2312" w:eastAsia="仿宋_GB2312" w:cs="仿宋_GB2312"/>
          <w:sz w:val="32"/>
          <w:szCs w:val="32"/>
          <w:lang w:eastAsia="zh-CN"/>
        </w:rPr>
        <w:t>售</w:t>
      </w:r>
      <w:r>
        <w:rPr>
          <w:rFonts w:hint="eastAsia" w:ascii="仿宋_GB2312" w:hAnsi="仿宋_GB2312" w:eastAsia="仿宋_GB2312" w:cs="仿宋_GB2312"/>
          <w:sz w:val="32"/>
          <w:szCs w:val="32"/>
        </w:rPr>
        <w:t>数据和退货数据明细等。</w:t>
      </w:r>
    </w:p>
    <w:p w14:paraId="61E5DE7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10.承诺积</w:t>
      </w:r>
      <w:r>
        <w:rPr>
          <w:rFonts w:hint="eastAsia" w:ascii="仿宋_GB2312" w:hAnsi="仿宋_GB2312" w:eastAsia="仿宋_GB2312" w:cs="仿宋_GB2312"/>
          <w:sz w:val="32"/>
          <w:szCs w:val="32"/>
          <w:lang w:eastAsia="zh-CN"/>
        </w:rPr>
        <w:t>极</w:t>
      </w:r>
      <w:r>
        <w:rPr>
          <w:rFonts w:hint="eastAsia" w:ascii="仿宋_GB2312" w:hAnsi="仿宋_GB2312" w:eastAsia="仿宋_GB2312" w:cs="仿宋_GB2312"/>
          <w:sz w:val="32"/>
          <w:szCs w:val="32"/>
        </w:rPr>
        <w:t>配合政府部门以数据核</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第三方</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计等方式进行的审计、监督</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专项活动的交易的相关原始资料和</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凭证。</w:t>
      </w:r>
    </w:p>
    <w:p w14:paraId="0123BDE9">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11.</w:t>
      </w:r>
      <w:r>
        <w:rPr>
          <w:rFonts w:hint="eastAsia" w:ascii="仿宋_GB2312" w:hAnsi="仿宋_GB2312" w:eastAsia="仿宋_GB2312" w:cs="仿宋_GB2312"/>
          <w:b/>
          <w:bCs/>
          <w:sz w:val="30"/>
          <w:szCs w:val="30"/>
        </w:rPr>
        <w:t>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知晓并同意，如</w:t>
      </w:r>
      <w:r>
        <w:rPr>
          <w:rFonts w:hint="eastAsia" w:ascii="仿宋_GB2312" w:hAnsi="仿宋_GB2312" w:eastAsia="仿宋_GB2312" w:cs="仿宋_GB2312"/>
          <w:b/>
          <w:bCs/>
          <w:sz w:val="30"/>
          <w:szCs w:val="30"/>
          <w:lang w:eastAsia="zh-CN"/>
        </w:rPr>
        <w:t>违</w:t>
      </w:r>
      <w:r>
        <w:rPr>
          <w:rFonts w:hint="eastAsia" w:ascii="仿宋_GB2312" w:hAnsi="仿宋_GB2312" w:eastAsia="仿宋_GB2312" w:cs="仿宋_GB2312"/>
          <w:b/>
          <w:bCs/>
          <w:sz w:val="30"/>
          <w:szCs w:val="30"/>
        </w:rPr>
        <w:t>反以上任何承诺，政策实施部门和服务机构有权随时取消本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参与活动的资格。且本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同意</w:t>
      </w:r>
      <w:r>
        <w:rPr>
          <w:rFonts w:hint="eastAsia" w:ascii="仿宋_GB2312" w:hAnsi="仿宋_GB2312" w:eastAsia="仿宋_GB2312" w:cs="仿宋_GB2312"/>
          <w:b/>
          <w:bCs/>
          <w:sz w:val="30"/>
          <w:szCs w:val="30"/>
          <w:lang w:eastAsia="zh-CN"/>
        </w:rPr>
        <w:t>政</w:t>
      </w:r>
      <w:r>
        <w:rPr>
          <w:rFonts w:hint="eastAsia" w:ascii="仿宋_GB2312" w:hAnsi="仿宋_GB2312" w:eastAsia="仿宋_GB2312" w:cs="仿宋_GB2312"/>
          <w:b/>
          <w:bCs/>
          <w:sz w:val="30"/>
          <w:szCs w:val="30"/>
        </w:rPr>
        <w:t>策实施部门和服务机构可进一步</w:t>
      </w:r>
      <w:r>
        <w:rPr>
          <w:rFonts w:hint="eastAsia" w:ascii="仿宋_GB2312" w:hAnsi="仿宋_GB2312" w:eastAsia="仿宋_GB2312" w:cs="仿宋_GB2312"/>
          <w:b/>
          <w:bCs/>
          <w:sz w:val="30"/>
          <w:szCs w:val="30"/>
          <w:lang w:eastAsia="zh-CN"/>
        </w:rPr>
        <w:t>采</w:t>
      </w:r>
      <w:r>
        <w:rPr>
          <w:rFonts w:hint="eastAsia" w:ascii="仿宋_GB2312" w:hAnsi="仿宋_GB2312" w:eastAsia="仿宋_GB2312" w:cs="仿宋_GB2312"/>
          <w:b/>
          <w:bCs/>
          <w:sz w:val="30"/>
          <w:szCs w:val="30"/>
        </w:rPr>
        <w:t>取包括</w:t>
      </w:r>
      <w:r>
        <w:rPr>
          <w:rFonts w:hint="eastAsia" w:ascii="仿宋_GB2312" w:hAnsi="仿宋_GB2312" w:eastAsia="仿宋_GB2312" w:cs="仿宋_GB2312"/>
          <w:b/>
          <w:bCs/>
          <w:sz w:val="30"/>
          <w:szCs w:val="30"/>
          <w:lang w:eastAsia="zh-CN"/>
        </w:rPr>
        <w:t>但</w:t>
      </w:r>
      <w:r>
        <w:rPr>
          <w:rFonts w:hint="eastAsia" w:ascii="仿宋_GB2312" w:hAnsi="仿宋_GB2312" w:eastAsia="仿宋_GB2312" w:cs="仿宋_GB2312"/>
          <w:b/>
          <w:bCs/>
          <w:sz w:val="30"/>
          <w:szCs w:val="30"/>
        </w:rPr>
        <w:t>不</w:t>
      </w:r>
      <w:r>
        <w:rPr>
          <w:rFonts w:hint="eastAsia" w:ascii="仿宋_GB2312" w:hAnsi="仿宋_GB2312" w:eastAsia="仿宋_GB2312" w:cs="仿宋_GB2312"/>
          <w:b/>
          <w:bCs/>
          <w:sz w:val="30"/>
          <w:szCs w:val="30"/>
          <w:lang w:eastAsia="zh-CN"/>
        </w:rPr>
        <w:t>限</w:t>
      </w:r>
      <w:r>
        <w:rPr>
          <w:rFonts w:hint="eastAsia" w:ascii="仿宋_GB2312" w:hAnsi="仿宋_GB2312" w:eastAsia="仿宋_GB2312" w:cs="仿宋_GB2312"/>
          <w:b/>
          <w:bCs/>
          <w:sz w:val="30"/>
          <w:szCs w:val="30"/>
        </w:rPr>
        <w:t>于以下任一或</w:t>
      </w:r>
      <w:r>
        <w:rPr>
          <w:rFonts w:hint="eastAsia" w:ascii="仿宋_GB2312" w:hAnsi="仿宋_GB2312" w:eastAsia="仿宋_GB2312" w:cs="仿宋_GB2312"/>
          <w:b/>
          <w:bCs/>
          <w:sz w:val="30"/>
          <w:szCs w:val="30"/>
          <w:lang w:eastAsia="zh-CN"/>
        </w:rPr>
        <w:t>同</w:t>
      </w:r>
      <w:r>
        <w:rPr>
          <w:rFonts w:hint="eastAsia" w:ascii="仿宋_GB2312" w:hAnsi="仿宋_GB2312" w:eastAsia="仿宋_GB2312" w:cs="仿宋_GB2312"/>
          <w:b/>
          <w:bCs/>
          <w:sz w:val="30"/>
          <w:szCs w:val="30"/>
        </w:rPr>
        <w:t>时采取以下全部措施，</w:t>
      </w:r>
      <w:r>
        <w:rPr>
          <w:rFonts w:hint="eastAsia" w:ascii="仿宋_GB2312" w:hAnsi="仿宋_GB2312" w:eastAsia="仿宋_GB2312" w:cs="仿宋_GB2312"/>
          <w:b/>
          <w:bCs/>
          <w:sz w:val="30"/>
          <w:szCs w:val="30"/>
          <w:lang w:eastAsia="zh-CN"/>
        </w:rPr>
        <w:t>追究本销售主体</w:t>
      </w:r>
      <w:r>
        <w:rPr>
          <w:rFonts w:hint="eastAsia" w:ascii="仿宋_GB2312" w:hAnsi="仿宋_GB2312" w:eastAsia="仿宋_GB2312" w:cs="仿宋_GB2312"/>
          <w:b/>
          <w:bCs/>
          <w:sz w:val="30"/>
          <w:szCs w:val="30"/>
        </w:rPr>
        <w:t>相关</w:t>
      </w:r>
      <w:r>
        <w:rPr>
          <w:rFonts w:hint="eastAsia" w:ascii="仿宋_GB2312" w:hAnsi="仿宋_GB2312" w:eastAsia="仿宋_GB2312" w:cs="仿宋_GB2312"/>
          <w:b/>
          <w:bCs/>
          <w:sz w:val="30"/>
          <w:szCs w:val="30"/>
          <w:lang w:eastAsia="zh-CN"/>
        </w:rPr>
        <w:t>违约</w:t>
      </w:r>
      <w:r>
        <w:rPr>
          <w:rFonts w:hint="eastAsia" w:ascii="仿宋_GB2312" w:hAnsi="仿宋_GB2312" w:eastAsia="仿宋_GB2312" w:cs="仿宋_GB2312"/>
          <w:b/>
          <w:bCs/>
          <w:sz w:val="30"/>
          <w:szCs w:val="30"/>
        </w:rPr>
        <w:t>责任</w:t>
      </w:r>
      <w:r>
        <w:rPr>
          <w:rFonts w:hint="eastAsia" w:ascii="仿宋_GB2312" w:hAnsi="仿宋_GB2312" w:eastAsia="仿宋_GB2312" w:cs="仿宋_GB2312"/>
          <w:b/>
          <w:bCs/>
          <w:sz w:val="30"/>
          <w:szCs w:val="30"/>
          <w:lang w:eastAsia="zh-CN"/>
        </w:rPr>
        <w:t>：</w:t>
      </w:r>
    </w:p>
    <w:p w14:paraId="54DA9E29">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(1)要求本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全额退还经政策实施部门和服务机构认定的</w:t>
      </w:r>
      <w:r>
        <w:rPr>
          <w:rFonts w:hint="eastAsia" w:ascii="仿宋_GB2312" w:hAnsi="仿宋_GB2312" w:eastAsia="仿宋_GB2312" w:cs="仿宋_GB2312"/>
          <w:b/>
          <w:bCs/>
          <w:sz w:val="30"/>
          <w:szCs w:val="30"/>
          <w:lang w:eastAsia="zh-CN"/>
        </w:rPr>
        <w:t>违</w:t>
      </w:r>
      <w:r>
        <w:rPr>
          <w:rFonts w:hint="eastAsia" w:ascii="仿宋_GB2312" w:hAnsi="仿宋_GB2312" w:eastAsia="仿宋_GB2312" w:cs="仿宋_GB2312"/>
          <w:b/>
          <w:bCs/>
          <w:sz w:val="30"/>
          <w:szCs w:val="30"/>
        </w:rPr>
        <w:t>约行为所涉</w:t>
      </w:r>
      <w:r>
        <w:rPr>
          <w:rFonts w:hint="eastAsia" w:ascii="仿宋_GB2312" w:hAnsi="仿宋_GB2312" w:eastAsia="仿宋_GB2312" w:cs="仿宋_GB2312"/>
          <w:b/>
          <w:bCs/>
          <w:sz w:val="30"/>
          <w:szCs w:val="30"/>
          <w:lang w:eastAsia="zh-CN"/>
        </w:rPr>
        <w:t>电动自行车以旧换新</w:t>
      </w:r>
      <w:r>
        <w:rPr>
          <w:rFonts w:hint="eastAsia" w:ascii="仿宋_GB2312" w:hAnsi="仿宋_GB2312" w:eastAsia="仿宋_GB2312" w:cs="仿宋_GB2312"/>
          <w:b/>
          <w:bCs/>
          <w:sz w:val="30"/>
          <w:szCs w:val="30"/>
        </w:rPr>
        <w:t>专项活动补贴资金</w:t>
      </w:r>
      <w:r>
        <w:rPr>
          <w:rFonts w:hint="eastAsia" w:ascii="仿宋_GB2312" w:hAnsi="仿宋_GB2312" w:eastAsia="仿宋_GB2312" w:cs="仿宋_GB2312"/>
          <w:b/>
          <w:bCs/>
          <w:sz w:val="30"/>
          <w:szCs w:val="30"/>
          <w:lang w:eastAsia="zh-CN"/>
        </w:rPr>
        <w:t>；</w:t>
      </w:r>
    </w:p>
    <w:p w14:paraId="632D3CCF">
      <w:pPr>
        <w:numPr>
          <w:ilvl w:val="0"/>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(2)要求本</w:t>
      </w:r>
      <w:r>
        <w:rPr>
          <w:rFonts w:hint="eastAsia" w:ascii="仿宋_GB2312" w:hAnsi="仿宋_GB2312" w:eastAsia="仿宋_GB2312" w:cs="仿宋_GB2312"/>
          <w:b/>
          <w:bCs/>
          <w:sz w:val="30"/>
          <w:szCs w:val="30"/>
          <w:lang w:eastAsia="zh-CN"/>
        </w:rPr>
        <w:t>销售主体赔</w:t>
      </w:r>
      <w:r>
        <w:rPr>
          <w:rFonts w:hint="eastAsia" w:ascii="仿宋_GB2312" w:hAnsi="仿宋_GB2312" w:eastAsia="仿宋_GB2312" w:cs="仿宋_GB2312"/>
          <w:b/>
          <w:bCs/>
          <w:sz w:val="30"/>
          <w:szCs w:val="30"/>
        </w:rPr>
        <w:t>偿</w:t>
      </w:r>
      <w:r>
        <w:rPr>
          <w:rFonts w:hint="eastAsia" w:ascii="仿宋_GB2312" w:hAnsi="仿宋_GB2312" w:eastAsia="仿宋_GB2312" w:cs="仿宋_GB2312"/>
          <w:b/>
          <w:bCs/>
          <w:sz w:val="30"/>
          <w:szCs w:val="30"/>
          <w:lang w:eastAsia="zh-CN"/>
        </w:rPr>
        <w:t>违</w:t>
      </w:r>
      <w:r>
        <w:rPr>
          <w:rFonts w:hint="eastAsia" w:ascii="仿宋_GB2312" w:hAnsi="仿宋_GB2312" w:eastAsia="仿宋_GB2312" w:cs="仿宋_GB2312"/>
          <w:b/>
          <w:bCs/>
          <w:sz w:val="30"/>
          <w:szCs w:val="30"/>
        </w:rPr>
        <w:t>约行为所导</w:t>
      </w:r>
      <w:r>
        <w:rPr>
          <w:rFonts w:hint="eastAsia" w:ascii="仿宋_GB2312" w:hAnsi="仿宋_GB2312" w:eastAsia="仿宋_GB2312" w:cs="仿宋_GB2312"/>
          <w:b/>
          <w:bCs/>
          <w:sz w:val="30"/>
          <w:szCs w:val="30"/>
          <w:lang w:eastAsia="zh-CN"/>
        </w:rPr>
        <w:t>致</w:t>
      </w:r>
      <w:r>
        <w:rPr>
          <w:rFonts w:hint="eastAsia" w:ascii="仿宋_GB2312" w:hAnsi="仿宋_GB2312" w:eastAsia="仿宋_GB2312" w:cs="仿宋_GB2312"/>
          <w:b/>
          <w:bCs/>
          <w:sz w:val="30"/>
          <w:szCs w:val="30"/>
        </w:rPr>
        <w:t>的一切损失</w:t>
      </w:r>
      <w:r>
        <w:rPr>
          <w:rFonts w:hint="eastAsia" w:ascii="仿宋_GB2312" w:hAnsi="仿宋_GB2312" w:eastAsia="仿宋_GB2312" w:cs="仿宋_GB2312"/>
          <w:b/>
          <w:bCs/>
          <w:sz w:val="30"/>
          <w:szCs w:val="30"/>
          <w:lang w:eastAsia="zh-CN"/>
        </w:rPr>
        <w:t>；</w:t>
      </w:r>
    </w:p>
    <w:p w14:paraId="1EBEE487">
      <w:pPr>
        <w:numPr>
          <w:ilvl w:val="0"/>
          <w:numId w:val="0"/>
        </w:numPr>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(3)政策实施部门有权会同相关部门将本</w:t>
      </w:r>
      <w:r>
        <w:rPr>
          <w:rFonts w:hint="eastAsia" w:ascii="仿宋_GB2312" w:hAnsi="仿宋_GB2312" w:eastAsia="仿宋_GB2312" w:cs="仿宋_GB2312"/>
          <w:b/>
          <w:bCs/>
          <w:sz w:val="30"/>
          <w:szCs w:val="30"/>
          <w:lang w:eastAsia="zh-CN"/>
        </w:rPr>
        <w:t>销售主体</w:t>
      </w:r>
      <w:r>
        <w:rPr>
          <w:rFonts w:hint="eastAsia" w:ascii="仿宋_GB2312" w:hAnsi="仿宋_GB2312" w:eastAsia="仿宋_GB2312" w:cs="仿宋_GB2312"/>
          <w:b/>
          <w:bCs/>
          <w:sz w:val="30"/>
          <w:szCs w:val="30"/>
        </w:rPr>
        <w:t>依法列入不诚信单位名单。</w:t>
      </w:r>
    </w:p>
    <w:p w14:paraId="40FDC100">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1093A93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lang w:eastAsia="zh-CN"/>
        </w:rPr>
        <w:t>落</w:t>
      </w:r>
      <w:r>
        <w:rPr>
          <w:rFonts w:hint="eastAsia" w:ascii="仿宋_GB2312" w:hAnsi="仿宋_GB2312" w:eastAsia="仿宋_GB2312" w:cs="仿宋_GB2312"/>
          <w:sz w:val="32"/>
          <w:szCs w:val="32"/>
        </w:rPr>
        <w:t>款之日起生效，并持续有效。</w:t>
      </w:r>
    </w:p>
    <w:p w14:paraId="4A273DB1">
      <w:pPr>
        <w:numPr>
          <w:ilvl w:val="0"/>
          <w:numId w:val="0"/>
        </w:numPr>
        <w:ind w:firstLine="4800" w:firstLineChars="15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销售主体</w:t>
      </w:r>
    </w:p>
    <w:p w14:paraId="6059E5F6">
      <w:pPr>
        <w:numPr>
          <w:ilvl w:val="0"/>
          <w:numId w:val="0"/>
        </w:numPr>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法定代表人（经营者）签字：</w:t>
      </w:r>
    </w:p>
    <w:p w14:paraId="73200982">
      <w:pPr>
        <w:numPr>
          <w:ilvl w:val="0"/>
          <w:numId w:val="0"/>
        </w:num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公章：</w:t>
      </w:r>
    </w:p>
    <w:p w14:paraId="3E823F59">
      <w:pPr>
        <w:pStyle w:val="4"/>
        <w:ind w:firstLine="5760" w:firstLineChars="18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 xml:space="preserve">   </w:t>
      </w:r>
    </w:p>
    <w:p w14:paraId="701A5241">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840" w:rightChars="400" w:firstLine="0" w:firstLineChars="0"/>
        <w:jc w:val="left"/>
        <w:textAlignment w:val="auto"/>
        <w:rPr>
          <w:rFonts w:hint="eastAsia" w:ascii="仿宋_GB2312" w:hAnsi="仿宋_GB2312" w:eastAsia="仿宋_GB2312" w:cs="仿宋_GB2312"/>
          <w:lang w:val="en-US" w:eastAsia="zh-CN"/>
        </w:rPr>
      </w:pPr>
    </w:p>
    <w:p w14:paraId="6C253713">
      <w:pPr>
        <w:pStyle w:val="11"/>
        <w:keepNext w:val="0"/>
        <w:keepLines w:val="0"/>
        <w:pageBreakBefore w:val="0"/>
        <w:widowControl w:val="0"/>
        <w:kinsoku/>
        <w:wordWrap/>
        <w:overflowPunct/>
        <w:topLinePunct w:val="0"/>
        <w:autoSpaceDE/>
        <w:autoSpaceDN/>
        <w:bidi w:val="0"/>
        <w:adjustRightInd/>
        <w:snapToGrid/>
        <w:spacing w:line="580" w:lineRule="exact"/>
        <w:ind w:left="0" w:leftChars="0" w:right="840" w:rightChars="400" w:firstLine="0" w:firstLineChars="0"/>
        <w:jc w:val="left"/>
        <w:textAlignment w:val="auto"/>
        <w:rPr>
          <w:rFonts w:hint="eastAsia" w:ascii="Times New Roman" w:hAnsi="Times New Roman" w:cs="Times New Roman"/>
          <w:lang w:val="en-US" w:eastAsia="zh-CN"/>
        </w:rPr>
      </w:pPr>
    </w:p>
    <w:p w14:paraId="1E46AE0B">
      <w:pPr>
        <w:tabs>
          <w:tab w:val="left" w:pos="2004"/>
        </w:tabs>
        <w:bidi w:val="0"/>
        <w:jc w:val="left"/>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14:paraId="1D8BBED4">
      <w:pPr>
        <w:spacing w:line="540" w:lineRule="exact"/>
        <w:rPr>
          <w:rFonts w:hint="default" w:ascii="黑体" w:hAnsi="黑体" w:eastAsia="黑体" w:cs="方正黑体_GBK"/>
          <w:color w:val="000000"/>
          <w:sz w:val="32"/>
          <w:szCs w:val="32"/>
          <w:lang w:val="en" w:eastAsia="zh-CN"/>
        </w:rPr>
      </w:pPr>
      <w:r>
        <w:rPr>
          <w:rFonts w:hint="eastAsia" w:ascii="黑体" w:hAnsi="黑体" w:eastAsia="黑体" w:cs="方正黑体_GBK"/>
          <w:color w:val="000000"/>
          <w:sz w:val="32"/>
          <w:szCs w:val="32"/>
          <w:lang w:val="en-US" w:eastAsia="zh-CN"/>
        </w:rPr>
        <w:t>附件</w:t>
      </w:r>
      <w:r>
        <w:rPr>
          <w:rFonts w:hint="default" w:ascii="黑体" w:hAnsi="黑体" w:eastAsia="黑体" w:cs="方正黑体_GBK"/>
          <w:color w:val="000000"/>
          <w:sz w:val="32"/>
          <w:szCs w:val="32"/>
          <w:lang w:val="en" w:eastAsia="zh-CN"/>
        </w:rPr>
        <w:t>4</w:t>
      </w:r>
    </w:p>
    <w:p w14:paraId="2EE0967D">
      <w:pPr>
        <w:pStyle w:val="11"/>
        <w:ind w:left="0" w:leftChars="0" w:firstLine="0" w:firstLineChars="0"/>
        <w:jc w:val="center"/>
        <w:rPr>
          <w:rFonts w:hint="eastAsia" w:ascii="黑体" w:hAnsi="黑体" w:eastAsia="黑体" w:cs="黑体"/>
          <w:lang w:val="en-US" w:eastAsia="zh-CN"/>
        </w:rPr>
      </w:pPr>
      <w:r>
        <w:rPr>
          <w:rFonts w:hint="eastAsia" w:ascii="方正小标宋简体" w:hAnsi="方正小标宋简体" w:eastAsia="方正小标宋简体" w:cs="方正小标宋简体"/>
          <w:sz w:val="44"/>
          <w:szCs w:val="44"/>
          <w:lang w:val="en-US" w:eastAsia="zh-CN"/>
        </w:rPr>
        <w:t>汾阳市电动自行车以旧换新活动销售主体汇总表</w:t>
      </w:r>
    </w:p>
    <w:p w14:paraId="4D67CD42">
      <w:pPr>
        <w:pStyle w:val="11"/>
        <w:tabs>
          <w:tab w:val="left" w:pos="7324"/>
        </w:tabs>
        <w:ind w:left="0" w:leftChars="0" w:firstLine="0" w:firstLineChars="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填报时间：  年   月  日</w:t>
      </w:r>
    </w:p>
    <w:tbl>
      <w:tblPr>
        <w:tblStyle w:val="9"/>
        <w:tblW w:w="13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132"/>
        <w:gridCol w:w="1725"/>
        <w:gridCol w:w="2025"/>
        <w:gridCol w:w="1478"/>
        <w:gridCol w:w="1296"/>
        <w:gridCol w:w="1432"/>
        <w:gridCol w:w="1432"/>
        <w:gridCol w:w="1650"/>
      </w:tblGrid>
      <w:tr w14:paraId="6D7C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36C8CC51">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2132" w:type="dxa"/>
            <w:noWrap w:val="0"/>
            <w:vAlign w:val="center"/>
          </w:tcPr>
          <w:p w14:paraId="018D3970">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销售主体名称</w:t>
            </w:r>
          </w:p>
        </w:tc>
        <w:tc>
          <w:tcPr>
            <w:tcW w:w="1725" w:type="dxa"/>
            <w:noWrap w:val="0"/>
            <w:vAlign w:val="center"/>
          </w:tcPr>
          <w:p w14:paraId="300E20D7">
            <w:pPr>
              <w:tabs>
                <w:tab w:val="left" w:pos="2004"/>
              </w:tabs>
              <w:bidi w:val="0"/>
              <w:jc w:val="center"/>
              <w:rPr>
                <w:rFonts w:hint="default"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统一社会信用代码</w:t>
            </w:r>
          </w:p>
        </w:tc>
        <w:tc>
          <w:tcPr>
            <w:tcW w:w="2025" w:type="dxa"/>
            <w:noWrap w:val="0"/>
            <w:vAlign w:val="center"/>
          </w:tcPr>
          <w:p w14:paraId="3C48640F">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经营门店地址</w:t>
            </w:r>
          </w:p>
        </w:tc>
        <w:tc>
          <w:tcPr>
            <w:tcW w:w="1478" w:type="dxa"/>
            <w:noWrap w:val="0"/>
            <w:vAlign w:val="center"/>
          </w:tcPr>
          <w:p w14:paraId="0F5BDDA5">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销售电动自行车品牌</w:t>
            </w:r>
          </w:p>
        </w:tc>
        <w:tc>
          <w:tcPr>
            <w:tcW w:w="1296" w:type="dxa"/>
            <w:noWrap w:val="0"/>
            <w:vAlign w:val="center"/>
          </w:tcPr>
          <w:p w14:paraId="297BAB00">
            <w:pPr>
              <w:tabs>
                <w:tab w:val="left" w:pos="2004"/>
              </w:tabs>
              <w:bidi w:val="0"/>
              <w:jc w:val="center"/>
              <w:rPr>
                <w:rFonts w:hint="default" w:ascii="黑体" w:hAnsi="黑体" w:eastAsia="黑体" w:cs="黑体"/>
                <w:kern w:val="2"/>
                <w:sz w:val="24"/>
                <w:szCs w:val="24"/>
                <w:vertAlign w:val="baseline"/>
                <w:lang w:val="en" w:eastAsia="zh-CN" w:bidi="ar-SA"/>
              </w:rPr>
            </w:pPr>
            <w:r>
              <w:rPr>
                <w:rFonts w:hint="default" w:ascii="黑体" w:hAnsi="黑体" w:eastAsia="黑体" w:cs="黑体"/>
                <w:kern w:val="2"/>
                <w:sz w:val="24"/>
                <w:szCs w:val="24"/>
                <w:vertAlign w:val="baseline"/>
                <w:lang w:val="en" w:eastAsia="zh-CN" w:bidi="ar-SA"/>
              </w:rPr>
              <w:t>2023</w:t>
            </w:r>
            <w:r>
              <w:rPr>
                <w:rFonts w:hint="eastAsia" w:ascii="黑体" w:hAnsi="黑体" w:eastAsia="黑体" w:cs="黑体"/>
                <w:kern w:val="2"/>
                <w:sz w:val="24"/>
                <w:szCs w:val="24"/>
                <w:vertAlign w:val="baseline"/>
                <w:lang w:val="en" w:eastAsia="zh-CN" w:bidi="ar-SA"/>
              </w:rPr>
              <w:t>年销售量（辆）</w:t>
            </w:r>
          </w:p>
        </w:tc>
        <w:tc>
          <w:tcPr>
            <w:tcW w:w="1432" w:type="dxa"/>
            <w:noWrap w:val="0"/>
            <w:vAlign w:val="center"/>
          </w:tcPr>
          <w:p w14:paraId="28980B91">
            <w:pPr>
              <w:tabs>
                <w:tab w:val="left" w:pos="2004"/>
              </w:tabs>
              <w:bidi w:val="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法定代表人</w:t>
            </w:r>
          </w:p>
        </w:tc>
        <w:tc>
          <w:tcPr>
            <w:tcW w:w="1432" w:type="dxa"/>
            <w:noWrap w:val="0"/>
            <w:vAlign w:val="center"/>
          </w:tcPr>
          <w:p w14:paraId="4709EF7C">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联系人姓名</w:t>
            </w:r>
          </w:p>
        </w:tc>
        <w:tc>
          <w:tcPr>
            <w:tcW w:w="1650" w:type="dxa"/>
            <w:noWrap w:val="0"/>
            <w:vAlign w:val="center"/>
          </w:tcPr>
          <w:p w14:paraId="573217F0">
            <w:pPr>
              <w:tabs>
                <w:tab w:val="left" w:pos="2004"/>
              </w:tabs>
              <w:bidi w:val="0"/>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联系电话</w:t>
            </w:r>
          </w:p>
        </w:tc>
      </w:tr>
      <w:tr w14:paraId="0ABA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17C03407">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4B3EB495">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3130B035">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5A6C09A2">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1AA1527E">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15DD6771">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1C765982">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4BC5056F">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0BCF0031">
            <w:pPr>
              <w:tabs>
                <w:tab w:val="left" w:pos="2004"/>
              </w:tabs>
              <w:bidi w:val="0"/>
              <w:jc w:val="center"/>
              <w:rPr>
                <w:rFonts w:hint="default" w:ascii="黑体" w:hAnsi="黑体" w:eastAsia="黑体" w:cs="黑体"/>
                <w:sz w:val="32"/>
                <w:szCs w:val="32"/>
                <w:vertAlign w:val="baseline"/>
                <w:lang w:val="en-US" w:eastAsia="zh-CN"/>
              </w:rPr>
            </w:pPr>
          </w:p>
        </w:tc>
      </w:tr>
      <w:tr w14:paraId="4DD8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66EDF4E0">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00A8A326">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49B7F153">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25B3D614">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698939E6">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3C0F149E">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7BA3DE58">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4F782579">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070120EC">
            <w:pPr>
              <w:tabs>
                <w:tab w:val="left" w:pos="2004"/>
              </w:tabs>
              <w:bidi w:val="0"/>
              <w:jc w:val="center"/>
              <w:rPr>
                <w:rFonts w:hint="default" w:ascii="黑体" w:hAnsi="黑体" w:eastAsia="黑体" w:cs="黑体"/>
                <w:sz w:val="32"/>
                <w:szCs w:val="32"/>
                <w:vertAlign w:val="baseline"/>
                <w:lang w:val="en-US" w:eastAsia="zh-CN"/>
              </w:rPr>
            </w:pPr>
          </w:p>
        </w:tc>
      </w:tr>
      <w:tr w14:paraId="1171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22916075">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0585FB35">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2E332850">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010E8F73">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0AC720FA">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182F9BF2">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061BF8B0">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201F31CE">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791328E9">
            <w:pPr>
              <w:tabs>
                <w:tab w:val="left" w:pos="2004"/>
              </w:tabs>
              <w:bidi w:val="0"/>
              <w:jc w:val="center"/>
              <w:rPr>
                <w:rFonts w:hint="default" w:ascii="黑体" w:hAnsi="黑体" w:eastAsia="黑体" w:cs="黑体"/>
                <w:sz w:val="32"/>
                <w:szCs w:val="32"/>
                <w:vertAlign w:val="baseline"/>
                <w:lang w:val="en-US" w:eastAsia="zh-CN"/>
              </w:rPr>
            </w:pPr>
          </w:p>
        </w:tc>
      </w:tr>
      <w:tr w14:paraId="0BBE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5A2D5AE9">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65499A42">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5D06B67B">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3DC13D30">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415D8B09">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4515581D">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3367D3E3">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1A8592D3">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2F991409">
            <w:pPr>
              <w:tabs>
                <w:tab w:val="left" w:pos="2004"/>
              </w:tabs>
              <w:bidi w:val="0"/>
              <w:jc w:val="center"/>
              <w:rPr>
                <w:rFonts w:hint="default" w:ascii="黑体" w:hAnsi="黑体" w:eastAsia="黑体" w:cs="黑体"/>
                <w:sz w:val="32"/>
                <w:szCs w:val="32"/>
                <w:vertAlign w:val="baseline"/>
                <w:lang w:val="en-US" w:eastAsia="zh-CN"/>
              </w:rPr>
            </w:pPr>
          </w:p>
        </w:tc>
      </w:tr>
      <w:tr w14:paraId="5AAD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64E74A9E">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5B14DE04">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4EEB0DCF">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4904A8D2">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21D02B81">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26E0E52C">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0B5182A6">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1E1ABA6C">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45950AD6">
            <w:pPr>
              <w:tabs>
                <w:tab w:val="left" w:pos="2004"/>
              </w:tabs>
              <w:bidi w:val="0"/>
              <w:jc w:val="center"/>
              <w:rPr>
                <w:rFonts w:hint="default" w:ascii="黑体" w:hAnsi="黑体" w:eastAsia="黑体" w:cs="黑体"/>
                <w:sz w:val="32"/>
                <w:szCs w:val="32"/>
                <w:vertAlign w:val="baseline"/>
                <w:lang w:val="en-US" w:eastAsia="zh-CN"/>
              </w:rPr>
            </w:pPr>
          </w:p>
        </w:tc>
      </w:tr>
      <w:tr w14:paraId="5889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73" w:type="dxa"/>
            <w:noWrap w:val="0"/>
            <w:vAlign w:val="center"/>
          </w:tcPr>
          <w:p w14:paraId="5E295EBF">
            <w:pPr>
              <w:tabs>
                <w:tab w:val="left" w:pos="2004"/>
              </w:tabs>
              <w:bidi w:val="0"/>
              <w:jc w:val="center"/>
              <w:rPr>
                <w:rFonts w:hint="default" w:ascii="黑体" w:hAnsi="黑体" w:eastAsia="黑体" w:cs="黑体"/>
                <w:sz w:val="32"/>
                <w:szCs w:val="32"/>
                <w:vertAlign w:val="baseline"/>
                <w:lang w:val="en-US" w:eastAsia="zh-CN"/>
              </w:rPr>
            </w:pPr>
          </w:p>
        </w:tc>
        <w:tc>
          <w:tcPr>
            <w:tcW w:w="2132" w:type="dxa"/>
            <w:noWrap w:val="0"/>
            <w:vAlign w:val="center"/>
          </w:tcPr>
          <w:p w14:paraId="04C79D57">
            <w:pPr>
              <w:tabs>
                <w:tab w:val="left" w:pos="2004"/>
              </w:tabs>
              <w:bidi w:val="0"/>
              <w:jc w:val="center"/>
              <w:rPr>
                <w:rFonts w:hint="default" w:ascii="黑体" w:hAnsi="黑体" w:eastAsia="黑体" w:cs="黑体"/>
                <w:sz w:val="32"/>
                <w:szCs w:val="32"/>
                <w:vertAlign w:val="baseline"/>
                <w:lang w:val="en-US" w:eastAsia="zh-CN"/>
              </w:rPr>
            </w:pPr>
          </w:p>
        </w:tc>
        <w:tc>
          <w:tcPr>
            <w:tcW w:w="1725" w:type="dxa"/>
            <w:noWrap w:val="0"/>
            <w:vAlign w:val="center"/>
          </w:tcPr>
          <w:p w14:paraId="27A87AA4">
            <w:pPr>
              <w:tabs>
                <w:tab w:val="left" w:pos="2004"/>
              </w:tabs>
              <w:bidi w:val="0"/>
              <w:jc w:val="center"/>
              <w:rPr>
                <w:rFonts w:hint="default" w:ascii="黑体" w:hAnsi="黑体" w:eastAsia="黑体" w:cs="黑体"/>
                <w:sz w:val="32"/>
                <w:szCs w:val="32"/>
                <w:vertAlign w:val="baseline"/>
                <w:lang w:val="en-US" w:eastAsia="zh-CN"/>
              </w:rPr>
            </w:pPr>
          </w:p>
        </w:tc>
        <w:tc>
          <w:tcPr>
            <w:tcW w:w="2025" w:type="dxa"/>
            <w:noWrap w:val="0"/>
            <w:vAlign w:val="center"/>
          </w:tcPr>
          <w:p w14:paraId="45D38395">
            <w:pPr>
              <w:tabs>
                <w:tab w:val="left" w:pos="2004"/>
              </w:tabs>
              <w:bidi w:val="0"/>
              <w:jc w:val="center"/>
              <w:rPr>
                <w:rFonts w:hint="default" w:ascii="黑体" w:hAnsi="黑体" w:eastAsia="黑体" w:cs="黑体"/>
                <w:sz w:val="32"/>
                <w:szCs w:val="32"/>
                <w:vertAlign w:val="baseline"/>
                <w:lang w:val="en-US" w:eastAsia="zh-CN"/>
              </w:rPr>
            </w:pPr>
          </w:p>
        </w:tc>
        <w:tc>
          <w:tcPr>
            <w:tcW w:w="1478" w:type="dxa"/>
            <w:noWrap w:val="0"/>
            <w:vAlign w:val="center"/>
          </w:tcPr>
          <w:p w14:paraId="789DF682">
            <w:pPr>
              <w:tabs>
                <w:tab w:val="left" w:pos="2004"/>
              </w:tabs>
              <w:bidi w:val="0"/>
              <w:jc w:val="center"/>
              <w:rPr>
                <w:rFonts w:hint="default" w:ascii="黑体" w:hAnsi="黑体" w:eastAsia="黑体" w:cs="黑体"/>
                <w:sz w:val="32"/>
                <w:szCs w:val="32"/>
                <w:vertAlign w:val="baseline"/>
                <w:lang w:val="en-US" w:eastAsia="zh-CN"/>
              </w:rPr>
            </w:pPr>
          </w:p>
        </w:tc>
        <w:tc>
          <w:tcPr>
            <w:tcW w:w="1296" w:type="dxa"/>
            <w:noWrap w:val="0"/>
            <w:vAlign w:val="center"/>
          </w:tcPr>
          <w:p w14:paraId="029A83FC">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6419B957">
            <w:pPr>
              <w:tabs>
                <w:tab w:val="left" w:pos="2004"/>
              </w:tabs>
              <w:bidi w:val="0"/>
              <w:jc w:val="center"/>
              <w:rPr>
                <w:rFonts w:hint="default" w:ascii="黑体" w:hAnsi="黑体" w:eastAsia="黑体" w:cs="黑体"/>
                <w:sz w:val="32"/>
                <w:szCs w:val="32"/>
                <w:vertAlign w:val="baseline"/>
                <w:lang w:val="en-US" w:eastAsia="zh-CN"/>
              </w:rPr>
            </w:pPr>
          </w:p>
        </w:tc>
        <w:tc>
          <w:tcPr>
            <w:tcW w:w="1432" w:type="dxa"/>
            <w:noWrap w:val="0"/>
            <w:vAlign w:val="center"/>
          </w:tcPr>
          <w:p w14:paraId="5CCFD14C">
            <w:pPr>
              <w:tabs>
                <w:tab w:val="left" w:pos="2004"/>
              </w:tabs>
              <w:bidi w:val="0"/>
              <w:jc w:val="center"/>
              <w:rPr>
                <w:rFonts w:hint="default" w:ascii="黑体" w:hAnsi="黑体" w:eastAsia="黑体" w:cs="黑体"/>
                <w:sz w:val="32"/>
                <w:szCs w:val="32"/>
                <w:vertAlign w:val="baseline"/>
                <w:lang w:val="en-US" w:eastAsia="zh-CN"/>
              </w:rPr>
            </w:pPr>
          </w:p>
        </w:tc>
        <w:tc>
          <w:tcPr>
            <w:tcW w:w="1650" w:type="dxa"/>
            <w:noWrap w:val="0"/>
            <w:vAlign w:val="center"/>
          </w:tcPr>
          <w:p w14:paraId="7E053949">
            <w:pPr>
              <w:tabs>
                <w:tab w:val="left" w:pos="2004"/>
              </w:tabs>
              <w:bidi w:val="0"/>
              <w:jc w:val="center"/>
              <w:rPr>
                <w:rFonts w:hint="default" w:ascii="黑体" w:hAnsi="黑体" w:eastAsia="黑体" w:cs="黑体"/>
                <w:sz w:val="32"/>
                <w:szCs w:val="32"/>
                <w:vertAlign w:val="baseline"/>
                <w:lang w:val="en-US" w:eastAsia="zh-CN"/>
              </w:rPr>
            </w:pPr>
          </w:p>
        </w:tc>
      </w:tr>
    </w:tbl>
    <w:p w14:paraId="672AEC60">
      <w:pPr>
        <w:pStyle w:val="11"/>
        <w:keepNext w:val="0"/>
        <w:keepLines w:val="0"/>
        <w:pageBreakBefore w:val="0"/>
        <w:widowControl w:val="0"/>
        <w:kinsoku/>
        <w:wordWrap/>
        <w:overflowPunct/>
        <w:topLinePunct w:val="0"/>
        <w:autoSpaceDE/>
        <w:autoSpaceDN/>
        <w:bidi w:val="0"/>
        <w:adjustRightInd/>
        <w:snapToGrid/>
        <w:spacing w:line="20" w:lineRule="exact"/>
        <w:ind w:right="840" w:rightChars="400" w:firstLine="4800" w:firstLineChars="1500"/>
        <w:jc w:val="left"/>
        <w:textAlignment w:val="auto"/>
        <w:rPr>
          <w:rFonts w:hint="default" w:ascii="Times New Roman" w:hAnsi="Times New Roman" w:cs="Times New Roman"/>
          <w:lang w:val="en-US" w:eastAsia="zh-CN"/>
        </w:rPr>
      </w:pPr>
    </w:p>
    <w:p w14:paraId="583E29E5">
      <w:pPr>
        <w:jc w:val="both"/>
        <w:rPr>
          <w:rFonts w:hint="eastAsia"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p>
    <w:p w14:paraId="70E9DD16">
      <w:pPr>
        <w:jc w:val="left"/>
        <w:rPr>
          <w:rFonts w:hint="default" w:ascii="仿宋" w:hAnsi="仿宋" w:eastAsia="仿宋" w:cs="仿宋"/>
          <w:sz w:val="32"/>
          <w:szCs w:val="32"/>
          <w:lang w:val="en-US" w:eastAsia="zh-CN"/>
        </w:rPr>
      </w:pPr>
      <w:r>
        <w:rPr>
          <w:rFonts w:hint="eastAsia" w:ascii="黑体" w:hAnsi="黑体" w:eastAsia="黑体" w:cs="方正黑体_GBK"/>
          <w:color w:val="000000"/>
          <w:sz w:val="32"/>
          <w:szCs w:val="32"/>
          <w:lang w:val="en-US" w:eastAsia="zh-CN"/>
        </w:rPr>
        <w:t>附件5</w:t>
      </w:r>
    </w:p>
    <w:p w14:paraId="69ED64F7">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销售主体参与电动自行车以旧换新活动商品报备表</w:t>
      </w:r>
    </w:p>
    <w:p w14:paraId="12DEF9ED">
      <w:pPr>
        <w:jc w:val="left"/>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企业（公章）：</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2560"/>
        <w:gridCol w:w="3518"/>
        <w:gridCol w:w="6061"/>
      </w:tblGrid>
      <w:tr w14:paraId="0CBC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42867C52">
            <w:pPr>
              <w:jc w:val="cente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序号</w:t>
            </w:r>
          </w:p>
        </w:tc>
        <w:tc>
          <w:tcPr>
            <w:tcW w:w="903" w:type="pct"/>
            <w:noWrap w:val="0"/>
            <w:vAlign w:val="top"/>
          </w:tcPr>
          <w:p w14:paraId="5FCD8D65">
            <w:pPr>
              <w:jc w:val="cente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品牌</w:t>
            </w:r>
          </w:p>
        </w:tc>
        <w:tc>
          <w:tcPr>
            <w:tcW w:w="1241" w:type="pct"/>
            <w:noWrap w:val="0"/>
            <w:vAlign w:val="top"/>
          </w:tcPr>
          <w:p w14:paraId="729D9D8E">
            <w:pPr>
              <w:jc w:val="center"/>
              <w:rPr>
                <w:rFonts w:hint="eastAsia"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商品型号</w:t>
            </w:r>
          </w:p>
        </w:tc>
        <w:tc>
          <w:tcPr>
            <w:tcW w:w="2138" w:type="pct"/>
            <w:noWrap w:val="0"/>
            <w:vAlign w:val="top"/>
          </w:tcPr>
          <w:p w14:paraId="36214F90">
            <w:pPr>
              <w:jc w:val="center"/>
              <w:rPr>
                <w:rFonts w:hint="default" w:ascii="CESI仿宋-GB2312" w:hAnsi="CESI仿宋-GB2312" w:eastAsia="CESI仿宋-GB2312" w:cs="CESI仿宋-GB2312"/>
                <w:sz w:val="30"/>
                <w:szCs w:val="30"/>
                <w:vertAlign w:val="baseline"/>
                <w:lang w:val="en-US" w:eastAsia="zh-CN"/>
              </w:rPr>
            </w:pPr>
            <w:r>
              <w:rPr>
                <w:rFonts w:hint="eastAsia" w:ascii="CESI仿宋-GB2312" w:hAnsi="CESI仿宋-GB2312" w:eastAsia="CESI仿宋-GB2312" w:cs="CESI仿宋-GB2312"/>
                <w:sz w:val="30"/>
                <w:szCs w:val="30"/>
                <w:vertAlign w:val="baseline"/>
                <w:lang w:val="en-US" w:eastAsia="zh-CN"/>
              </w:rPr>
              <w:t>2024年1-8月平均销售价格</w:t>
            </w:r>
          </w:p>
        </w:tc>
      </w:tr>
      <w:tr w14:paraId="5CB7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3ED90B61">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22DCC60A">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3DA3619F">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676AF42D">
            <w:pPr>
              <w:jc w:val="center"/>
              <w:rPr>
                <w:rFonts w:hint="eastAsia" w:ascii="CESI仿宋-GB2312" w:hAnsi="CESI仿宋-GB2312" w:eastAsia="CESI仿宋-GB2312" w:cs="CESI仿宋-GB2312"/>
                <w:sz w:val="30"/>
                <w:szCs w:val="30"/>
                <w:vertAlign w:val="baseline"/>
                <w:lang w:val="en-US" w:eastAsia="zh-CN"/>
              </w:rPr>
            </w:pPr>
          </w:p>
        </w:tc>
      </w:tr>
      <w:tr w14:paraId="4025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2D3EA43A">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5F75535A">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7641F1F7">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15B924B8">
            <w:pPr>
              <w:jc w:val="center"/>
              <w:rPr>
                <w:rFonts w:hint="eastAsia" w:ascii="CESI仿宋-GB2312" w:hAnsi="CESI仿宋-GB2312" w:eastAsia="CESI仿宋-GB2312" w:cs="CESI仿宋-GB2312"/>
                <w:sz w:val="30"/>
                <w:szCs w:val="30"/>
                <w:vertAlign w:val="baseline"/>
                <w:lang w:val="en-US" w:eastAsia="zh-CN"/>
              </w:rPr>
            </w:pPr>
          </w:p>
        </w:tc>
      </w:tr>
      <w:tr w14:paraId="5339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09FD63CB">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0B610FAE">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5B4F9563">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1DC974E5">
            <w:pPr>
              <w:jc w:val="center"/>
              <w:rPr>
                <w:rFonts w:hint="eastAsia" w:ascii="CESI仿宋-GB2312" w:hAnsi="CESI仿宋-GB2312" w:eastAsia="CESI仿宋-GB2312" w:cs="CESI仿宋-GB2312"/>
                <w:sz w:val="30"/>
                <w:szCs w:val="30"/>
                <w:vertAlign w:val="baseline"/>
                <w:lang w:val="en-US" w:eastAsia="zh-CN"/>
              </w:rPr>
            </w:pPr>
          </w:p>
        </w:tc>
      </w:tr>
      <w:tr w14:paraId="5F00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57626BB7">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6A00EC0D">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27A8CAED">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370E87E3">
            <w:pPr>
              <w:jc w:val="center"/>
              <w:rPr>
                <w:rFonts w:hint="eastAsia" w:ascii="CESI仿宋-GB2312" w:hAnsi="CESI仿宋-GB2312" w:eastAsia="CESI仿宋-GB2312" w:cs="CESI仿宋-GB2312"/>
                <w:sz w:val="30"/>
                <w:szCs w:val="30"/>
                <w:vertAlign w:val="baseline"/>
                <w:lang w:val="en-US" w:eastAsia="zh-CN"/>
              </w:rPr>
            </w:pPr>
          </w:p>
        </w:tc>
      </w:tr>
      <w:tr w14:paraId="5555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1430A3AE">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4EDB3DC9">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2927A296">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191F0FF1">
            <w:pPr>
              <w:jc w:val="center"/>
              <w:rPr>
                <w:rFonts w:hint="eastAsia" w:ascii="CESI仿宋-GB2312" w:hAnsi="CESI仿宋-GB2312" w:eastAsia="CESI仿宋-GB2312" w:cs="CESI仿宋-GB2312"/>
                <w:sz w:val="30"/>
                <w:szCs w:val="30"/>
                <w:vertAlign w:val="baseline"/>
                <w:lang w:val="en-US" w:eastAsia="zh-CN"/>
              </w:rPr>
            </w:pPr>
          </w:p>
        </w:tc>
      </w:tr>
      <w:tr w14:paraId="37FE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67469D5D">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5BE88DDF">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25FF9906">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021E6A97">
            <w:pPr>
              <w:jc w:val="center"/>
              <w:rPr>
                <w:rFonts w:hint="eastAsia" w:ascii="CESI仿宋-GB2312" w:hAnsi="CESI仿宋-GB2312" w:eastAsia="CESI仿宋-GB2312" w:cs="CESI仿宋-GB2312"/>
                <w:sz w:val="30"/>
                <w:szCs w:val="30"/>
                <w:vertAlign w:val="baseline"/>
                <w:lang w:val="en-US" w:eastAsia="zh-CN"/>
              </w:rPr>
            </w:pPr>
          </w:p>
        </w:tc>
      </w:tr>
      <w:tr w14:paraId="4C841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6" w:type="pct"/>
            <w:noWrap w:val="0"/>
            <w:vAlign w:val="top"/>
          </w:tcPr>
          <w:p w14:paraId="43350887">
            <w:pPr>
              <w:jc w:val="center"/>
              <w:rPr>
                <w:rFonts w:hint="eastAsia" w:ascii="CESI仿宋-GB2312" w:hAnsi="CESI仿宋-GB2312" w:eastAsia="CESI仿宋-GB2312" w:cs="CESI仿宋-GB2312"/>
                <w:sz w:val="30"/>
                <w:szCs w:val="30"/>
                <w:vertAlign w:val="baseline"/>
                <w:lang w:val="en-US" w:eastAsia="zh-CN"/>
              </w:rPr>
            </w:pPr>
          </w:p>
        </w:tc>
        <w:tc>
          <w:tcPr>
            <w:tcW w:w="903" w:type="pct"/>
            <w:noWrap w:val="0"/>
            <w:vAlign w:val="top"/>
          </w:tcPr>
          <w:p w14:paraId="48DA5DCA">
            <w:pPr>
              <w:jc w:val="center"/>
              <w:rPr>
                <w:rFonts w:hint="eastAsia" w:ascii="CESI仿宋-GB2312" w:hAnsi="CESI仿宋-GB2312" w:eastAsia="CESI仿宋-GB2312" w:cs="CESI仿宋-GB2312"/>
                <w:sz w:val="30"/>
                <w:szCs w:val="30"/>
                <w:vertAlign w:val="baseline"/>
                <w:lang w:val="en-US" w:eastAsia="zh-CN"/>
              </w:rPr>
            </w:pPr>
          </w:p>
        </w:tc>
        <w:tc>
          <w:tcPr>
            <w:tcW w:w="1241" w:type="pct"/>
            <w:noWrap w:val="0"/>
            <w:vAlign w:val="top"/>
          </w:tcPr>
          <w:p w14:paraId="4E8803A2">
            <w:pPr>
              <w:jc w:val="center"/>
              <w:rPr>
                <w:rFonts w:hint="eastAsia" w:ascii="CESI仿宋-GB2312" w:hAnsi="CESI仿宋-GB2312" w:eastAsia="CESI仿宋-GB2312" w:cs="CESI仿宋-GB2312"/>
                <w:sz w:val="30"/>
                <w:szCs w:val="30"/>
                <w:vertAlign w:val="baseline"/>
                <w:lang w:val="en-US" w:eastAsia="zh-CN"/>
              </w:rPr>
            </w:pPr>
          </w:p>
        </w:tc>
        <w:tc>
          <w:tcPr>
            <w:tcW w:w="2138" w:type="pct"/>
            <w:noWrap w:val="0"/>
            <w:vAlign w:val="top"/>
          </w:tcPr>
          <w:p w14:paraId="23BD8611">
            <w:pPr>
              <w:jc w:val="center"/>
              <w:rPr>
                <w:rFonts w:hint="eastAsia" w:ascii="CESI仿宋-GB2312" w:hAnsi="CESI仿宋-GB2312" w:eastAsia="CESI仿宋-GB2312" w:cs="CESI仿宋-GB2312"/>
                <w:sz w:val="30"/>
                <w:szCs w:val="30"/>
                <w:vertAlign w:val="baseline"/>
                <w:lang w:val="en-US" w:eastAsia="zh-CN"/>
              </w:rPr>
            </w:pPr>
          </w:p>
        </w:tc>
      </w:tr>
    </w:tbl>
    <w:p w14:paraId="16473F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78A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95AF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0F95AF4">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k3YWIxMDc2YmE4NjgzODE2MGU4MmVhYWIzMmYifQ=="/>
  </w:docVars>
  <w:rsids>
    <w:rsidRoot w:val="00000000"/>
    <w:rsid w:val="04E83035"/>
    <w:rsid w:val="0802440D"/>
    <w:rsid w:val="0A165128"/>
    <w:rsid w:val="0F0625CC"/>
    <w:rsid w:val="17AD0C15"/>
    <w:rsid w:val="1F1C3BAF"/>
    <w:rsid w:val="1F34153A"/>
    <w:rsid w:val="21551253"/>
    <w:rsid w:val="32E64CEC"/>
    <w:rsid w:val="33465D74"/>
    <w:rsid w:val="3528007B"/>
    <w:rsid w:val="3D056F03"/>
    <w:rsid w:val="48E1539E"/>
    <w:rsid w:val="4F6902D7"/>
    <w:rsid w:val="557B176A"/>
    <w:rsid w:val="598C7A8B"/>
    <w:rsid w:val="5B3B52AB"/>
    <w:rsid w:val="6C9205D9"/>
    <w:rsid w:val="774B4F47"/>
    <w:rsid w:val="DF65068C"/>
    <w:rsid w:val="FB33A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3">
    <w:name w:val="Body Text Indent"/>
    <w:next w:val="2"/>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4">
    <w:name w:val="Plain Text"/>
    <w:qFormat/>
    <w:uiPriority w:val="0"/>
    <w:pPr>
      <w:widowControl w:val="0"/>
      <w:jc w:val="both"/>
    </w:pPr>
    <w:rPr>
      <w:rFonts w:hint="eastAsia" w:ascii="宋体" w:hAnsi="Courier" w:eastAsia="宋体" w:cs="Times New Roman"/>
      <w:kern w:val="2"/>
      <w:sz w:val="21"/>
      <w:szCs w:val="21"/>
      <w:lang w:val="en-US" w:eastAsia="zh-CN" w:bidi="ar-SA"/>
    </w:rPr>
  </w:style>
  <w:style w:type="paragraph" w:styleId="5">
    <w:name w:val="footer"/>
    <w:unhideWhenUsed/>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6">
    <w:name w:val="Normal (Web)"/>
    <w:next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7">
    <w:name w:val="Body Text First Indent 2"/>
    <w:next w:val="1"/>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qFormat/>
    <w:uiPriority w:val="0"/>
    <w:pPr>
      <w:widowControl w:val="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4620</Words>
  <Characters>4719</Characters>
  <Lines>0</Lines>
  <Paragraphs>0</Paragraphs>
  <TotalTime>3</TotalTime>
  <ScaleCrop>false</ScaleCrop>
  <LinksUpToDate>false</LinksUpToDate>
  <CharactersWithSpaces>5115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2024-10-16T15:43:00Z</cp:lastPrinted>
  <dcterms:modified xsi:type="dcterms:W3CDTF">2024-10-16T09:00:44Z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2E4AF170D66A493A8AD65CBD7F28B2B6_12</vt:lpwstr>
  </property>
</Properties>
</file>