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CAAD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行政执法事项目录清单</w:t>
      </w:r>
    </w:p>
    <w:p w14:paraId="442CB9B9">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cs="仿宋"/>
          <w:b w:val="0"/>
          <w:bCs w:val="0"/>
          <w:sz w:val="32"/>
          <w:szCs w:val="32"/>
          <w:lang w:val="en-US" w:eastAsia="zh-CN"/>
        </w:rPr>
      </w:pPr>
    </w:p>
    <w:p w14:paraId="68DDA745">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cs="仿宋"/>
          <w:b w:val="0"/>
          <w:bCs w:val="0"/>
          <w:sz w:val="32"/>
          <w:szCs w:val="32"/>
          <w:lang w:val="en-US" w:eastAsia="zh-CN"/>
        </w:rPr>
      </w:pPr>
      <w:bookmarkStart w:id="0" w:name="_GoBack"/>
      <w:bookmarkEnd w:id="0"/>
      <w:r>
        <w:rPr>
          <w:rFonts w:hint="eastAsia" w:ascii="仿宋" w:hAnsi="仿宋" w:cs="仿宋"/>
          <w:b w:val="0"/>
          <w:bCs w:val="0"/>
          <w:sz w:val="32"/>
          <w:szCs w:val="32"/>
          <w:lang w:val="en-US" w:eastAsia="zh-CN"/>
        </w:rPr>
        <w:t xml:space="preserve">         </w:t>
      </w:r>
    </w:p>
    <w:tbl>
      <w:tblPr>
        <w:tblStyle w:val="4"/>
        <w:tblW w:w="13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005"/>
        <w:gridCol w:w="1575"/>
        <w:gridCol w:w="2625"/>
        <w:gridCol w:w="1545"/>
        <w:gridCol w:w="2415"/>
        <w:gridCol w:w="929"/>
      </w:tblGrid>
      <w:tr w14:paraId="10CF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2" w:type="dxa"/>
            <w:vAlign w:val="center"/>
          </w:tcPr>
          <w:p w14:paraId="214ECCB9">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4005" w:type="dxa"/>
            <w:vAlign w:val="center"/>
          </w:tcPr>
          <w:p w14:paraId="7F7A6557">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事项名称</w:t>
            </w:r>
          </w:p>
        </w:tc>
        <w:tc>
          <w:tcPr>
            <w:tcW w:w="1575" w:type="dxa"/>
            <w:vAlign w:val="center"/>
          </w:tcPr>
          <w:p w14:paraId="297DAB4F">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事项类型</w:t>
            </w:r>
          </w:p>
        </w:tc>
        <w:tc>
          <w:tcPr>
            <w:tcW w:w="2625" w:type="dxa"/>
            <w:vAlign w:val="center"/>
          </w:tcPr>
          <w:p w14:paraId="2EF54795">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事项依据</w:t>
            </w:r>
          </w:p>
        </w:tc>
        <w:tc>
          <w:tcPr>
            <w:tcW w:w="1545" w:type="dxa"/>
            <w:vAlign w:val="center"/>
          </w:tcPr>
          <w:p w14:paraId="39AB0671">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责任主体</w:t>
            </w:r>
          </w:p>
        </w:tc>
        <w:tc>
          <w:tcPr>
            <w:tcW w:w="2415" w:type="dxa"/>
            <w:vAlign w:val="center"/>
          </w:tcPr>
          <w:p w14:paraId="663CB667">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实施主体</w:t>
            </w:r>
          </w:p>
        </w:tc>
        <w:tc>
          <w:tcPr>
            <w:tcW w:w="929" w:type="dxa"/>
            <w:vAlign w:val="center"/>
          </w:tcPr>
          <w:p w14:paraId="6D5AA785">
            <w:pPr>
              <w:pStyle w:val="2"/>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备注</w:t>
            </w:r>
          </w:p>
        </w:tc>
      </w:tr>
      <w:tr w14:paraId="6429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4A4E9D49">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1</w:t>
            </w:r>
          </w:p>
        </w:tc>
        <w:tc>
          <w:tcPr>
            <w:tcW w:w="4005" w:type="dxa"/>
            <w:vAlign w:val="top"/>
          </w:tcPr>
          <w:p w14:paraId="10F554FD">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对新建、改建、扩建集中式供水项目时的预防性卫生监督的行政检查</w:t>
            </w:r>
          </w:p>
        </w:tc>
        <w:tc>
          <w:tcPr>
            <w:tcW w:w="1575" w:type="dxa"/>
            <w:vAlign w:val="top"/>
          </w:tcPr>
          <w:p w14:paraId="4177ABD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529F6C1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《生活饮用水卫生监督管理办法》第十七条</w:t>
            </w:r>
          </w:p>
        </w:tc>
        <w:tc>
          <w:tcPr>
            <w:tcW w:w="1545" w:type="dxa"/>
            <w:vAlign w:val="top"/>
          </w:tcPr>
          <w:p w14:paraId="35F0F02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1E7AAE0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0E21EB0B">
            <w:pPr>
              <w:pStyle w:val="2"/>
              <w:keepNext w:val="0"/>
              <w:keepLines w:val="0"/>
              <w:pageBreakBefore w:val="0"/>
              <w:widowControl w:val="0"/>
              <w:kinsoku/>
              <w:wordWrap/>
              <w:overflowPunct/>
              <w:topLinePunct w:val="0"/>
              <w:autoSpaceDE/>
              <w:autoSpaceDN/>
              <w:bidi w:val="0"/>
              <w:adjustRightInd w:val="0"/>
              <w:snapToGrid/>
              <w:spacing w:line="300" w:lineRule="exact"/>
              <w:ind w:left="640" w:leftChars="200"/>
              <w:jc w:val="left"/>
              <w:textAlignment w:val="auto"/>
              <w:rPr>
                <w:rFonts w:hint="eastAsia" w:ascii="仿宋_GB2312" w:hAnsi="仿宋_GB2312" w:eastAsia="仿宋_GB2312" w:cs="仿宋_GB2312"/>
                <w:b w:val="0"/>
                <w:bCs w:val="0"/>
                <w:sz w:val="28"/>
                <w:szCs w:val="28"/>
                <w:lang w:val="en-US" w:eastAsia="zh-CN"/>
              </w:rPr>
            </w:pPr>
          </w:p>
        </w:tc>
      </w:tr>
      <w:tr w14:paraId="397A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3EBCD77F">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2</w:t>
            </w:r>
          </w:p>
        </w:tc>
        <w:tc>
          <w:tcPr>
            <w:tcW w:w="4005" w:type="dxa"/>
            <w:vAlign w:val="top"/>
          </w:tcPr>
          <w:p w14:paraId="5DC72C25">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对取得卫生许可证的单位或个人，以及取得卫生许可批准文件的饮用水卫生安全的产品的行政检查</w:t>
            </w:r>
          </w:p>
        </w:tc>
        <w:tc>
          <w:tcPr>
            <w:tcW w:w="1575" w:type="dxa"/>
            <w:vAlign w:val="top"/>
          </w:tcPr>
          <w:p w14:paraId="4EC8B8F6">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77EAABF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《生活饮用水卫生监督管理办法》第二十二条</w:t>
            </w:r>
          </w:p>
        </w:tc>
        <w:tc>
          <w:tcPr>
            <w:tcW w:w="1545" w:type="dxa"/>
            <w:vAlign w:val="top"/>
          </w:tcPr>
          <w:p w14:paraId="71EE203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6027BBFE">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6DCA8EF2">
            <w:pPr>
              <w:pStyle w:val="2"/>
              <w:keepNext w:val="0"/>
              <w:keepLines w:val="0"/>
              <w:pageBreakBefore w:val="0"/>
              <w:widowControl w:val="0"/>
              <w:kinsoku/>
              <w:wordWrap/>
              <w:overflowPunct/>
              <w:topLinePunct w:val="0"/>
              <w:autoSpaceDE/>
              <w:autoSpaceDN/>
              <w:bidi w:val="0"/>
              <w:adjustRightInd w:val="0"/>
              <w:snapToGrid/>
              <w:spacing w:line="300" w:lineRule="exact"/>
              <w:ind w:left="640" w:leftChars="200"/>
              <w:jc w:val="left"/>
              <w:textAlignment w:val="auto"/>
              <w:rPr>
                <w:rFonts w:hint="eastAsia" w:ascii="仿宋_GB2312" w:hAnsi="仿宋_GB2312" w:eastAsia="仿宋_GB2312" w:cs="仿宋_GB2312"/>
                <w:b w:val="0"/>
                <w:bCs w:val="0"/>
                <w:sz w:val="28"/>
                <w:szCs w:val="28"/>
                <w:lang w:val="en-US" w:eastAsia="zh-CN"/>
              </w:rPr>
            </w:pPr>
          </w:p>
        </w:tc>
      </w:tr>
      <w:tr w14:paraId="15F0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7E365544">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3</w:t>
            </w:r>
          </w:p>
        </w:tc>
        <w:tc>
          <w:tcPr>
            <w:tcW w:w="4005" w:type="dxa"/>
            <w:vAlign w:val="top"/>
          </w:tcPr>
          <w:p w14:paraId="2A67C92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对公共场所卫生的行政检查</w:t>
            </w:r>
          </w:p>
        </w:tc>
        <w:tc>
          <w:tcPr>
            <w:tcW w:w="1575" w:type="dxa"/>
            <w:vAlign w:val="top"/>
          </w:tcPr>
          <w:p w14:paraId="2EA96A9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28C4912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《公共场所卫生管理条例》第十条</w:t>
            </w:r>
          </w:p>
        </w:tc>
        <w:tc>
          <w:tcPr>
            <w:tcW w:w="1545" w:type="dxa"/>
            <w:vAlign w:val="top"/>
          </w:tcPr>
          <w:p w14:paraId="454B72D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70AD45D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7A536E99">
            <w:pPr>
              <w:pStyle w:val="2"/>
              <w:keepNext w:val="0"/>
              <w:keepLines w:val="0"/>
              <w:pageBreakBefore w:val="0"/>
              <w:widowControl w:val="0"/>
              <w:kinsoku/>
              <w:wordWrap/>
              <w:overflowPunct/>
              <w:topLinePunct w:val="0"/>
              <w:autoSpaceDE/>
              <w:autoSpaceDN/>
              <w:bidi w:val="0"/>
              <w:adjustRightInd w:val="0"/>
              <w:snapToGrid/>
              <w:spacing w:line="300" w:lineRule="exact"/>
              <w:ind w:left="640" w:leftChars="200"/>
              <w:jc w:val="left"/>
              <w:textAlignment w:val="auto"/>
              <w:rPr>
                <w:rFonts w:hint="eastAsia" w:ascii="仿宋_GB2312" w:hAnsi="仿宋_GB2312" w:eastAsia="仿宋_GB2312" w:cs="仿宋_GB2312"/>
                <w:b w:val="0"/>
                <w:bCs w:val="0"/>
                <w:sz w:val="28"/>
                <w:szCs w:val="28"/>
                <w:lang w:val="en-US" w:eastAsia="zh-CN"/>
              </w:rPr>
            </w:pPr>
          </w:p>
        </w:tc>
      </w:tr>
      <w:tr w14:paraId="6151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82" w:type="dxa"/>
            <w:vAlign w:val="center"/>
          </w:tcPr>
          <w:p w14:paraId="570D5F5D">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4</w:t>
            </w:r>
          </w:p>
        </w:tc>
        <w:tc>
          <w:tcPr>
            <w:tcW w:w="4005" w:type="dxa"/>
            <w:vAlign w:val="top"/>
          </w:tcPr>
          <w:p w14:paraId="1A45BA4E">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对自受理公共场所卫生许可申请之日起20日内，对申报资料进行审查，对现场进行审核的行政检查</w:t>
            </w:r>
          </w:p>
        </w:tc>
        <w:tc>
          <w:tcPr>
            <w:tcW w:w="1575" w:type="dxa"/>
            <w:vAlign w:val="top"/>
          </w:tcPr>
          <w:p w14:paraId="6530A6C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2DFC854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《公共场所卫生管理条例实施细则》第二十四条</w:t>
            </w:r>
          </w:p>
        </w:tc>
        <w:tc>
          <w:tcPr>
            <w:tcW w:w="1545" w:type="dxa"/>
            <w:vAlign w:val="top"/>
          </w:tcPr>
          <w:p w14:paraId="423A967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09EA117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5935EFA2">
            <w:pPr>
              <w:pStyle w:val="2"/>
              <w:keepNext w:val="0"/>
              <w:keepLines w:val="0"/>
              <w:pageBreakBefore w:val="0"/>
              <w:widowControl w:val="0"/>
              <w:kinsoku/>
              <w:wordWrap/>
              <w:overflowPunct/>
              <w:topLinePunct w:val="0"/>
              <w:autoSpaceDE/>
              <w:autoSpaceDN/>
              <w:bidi w:val="0"/>
              <w:adjustRightInd w:val="0"/>
              <w:snapToGrid/>
              <w:spacing w:line="300" w:lineRule="exact"/>
              <w:ind w:left="640" w:leftChars="200"/>
              <w:jc w:val="left"/>
              <w:textAlignment w:val="auto"/>
              <w:rPr>
                <w:rFonts w:hint="eastAsia" w:ascii="仿宋_GB2312" w:hAnsi="仿宋_GB2312" w:eastAsia="仿宋_GB2312" w:cs="仿宋_GB2312"/>
                <w:b w:val="0"/>
                <w:bCs w:val="0"/>
                <w:sz w:val="28"/>
                <w:szCs w:val="28"/>
                <w:lang w:val="en-US" w:eastAsia="zh-CN"/>
              </w:rPr>
            </w:pPr>
          </w:p>
        </w:tc>
      </w:tr>
      <w:tr w14:paraId="10FC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2" w:type="dxa"/>
            <w:vAlign w:val="center"/>
          </w:tcPr>
          <w:p w14:paraId="5CC25991">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5</w:t>
            </w:r>
          </w:p>
        </w:tc>
        <w:tc>
          <w:tcPr>
            <w:tcW w:w="4005" w:type="dxa"/>
            <w:vAlign w:val="top"/>
          </w:tcPr>
          <w:p w14:paraId="299B13EA">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对公共场所进行新建、改建、扩建的预防性审查的行政检查</w:t>
            </w:r>
          </w:p>
        </w:tc>
        <w:tc>
          <w:tcPr>
            <w:tcW w:w="1575" w:type="dxa"/>
            <w:vAlign w:val="top"/>
          </w:tcPr>
          <w:p w14:paraId="732E5C0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40CCF99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《公共场所卫生管理条例实施细则》第二十六条</w:t>
            </w:r>
          </w:p>
        </w:tc>
        <w:tc>
          <w:tcPr>
            <w:tcW w:w="1545" w:type="dxa"/>
            <w:vAlign w:val="top"/>
          </w:tcPr>
          <w:p w14:paraId="18648C8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1933021C">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211C168B">
            <w:pPr>
              <w:pStyle w:val="2"/>
              <w:keepNext w:val="0"/>
              <w:keepLines w:val="0"/>
              <w:pageBreakBefore w:val="0"/>
              <w:widowControl w:val="0"/>
              <w:kinsoku/>
              <w:wordWrap/>
              <w:overflowPunct/>
              <w:topLinePunct w:val="0"/>
              <w:autoSpaceDE/>
              <w:autoSpaceDN/>
              <w:bidi w:val="0"/>
              <w:adjustRightInd w:val="0"/>
              <w:snapToGrid/>
              <w:spacing w:line="300" w:lineRule="exact"/>
              <w:ind w:left="640" w:leftChars="200"/>
              <w:jc w:val="left"/>
              <w:textAlignment w:val="auto"/>
              <w:rPr>
                <w:rFonts w:hint="eastAsia" w:ascii="仿宋_GB2312" w:hAnsi="仿宋_GB2312" w:eastAsia="仿宋_GB2312" w:cs="仿宋_GB2312"/>
                <w:b w:val="0"/>
                <w:bCs w:val="0"/>
                <w:sz w:val="28"/>
                <w:szCs w:val="28"/>
                <w:lang w:val="en-US" w:eastAsia="zh-CN"/>
              </w:rPr>
            </w:pPr>
          </w:p>
        </w:tc>
      </w:tr>
      <w:tr w14:paraId="3C18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82" w:type="dxa"/>
            <w:vAlign w:val="center"/>
          </w:tcPr>
          <w:p w14:paraId="4EB18DB4">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6</w:t>
            </w:r>
          </w:p>
        </w:tc>
        <w:tc>
          <w:tcPr>
            <w:tcW w:w="4005" w:type="dxa"/>
            <w:vAlign w:val="top"/>
          </w:tcPr>
          <w:p w14:paraId="785E62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225"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对新建、改建、扩建校舍的选址、设计；学校内影响学生健康的学习、生活、劳动、环境、食品等方面的卫生和传染病防治工作；学生使用的文具、娱乐器具、保健用品的行政检查。</w:t>
            </w:r>
          </w:p>
        </w:tc>
        <w:tc>
          <w:tcPr>
            <w:tcW w:w="1575" w:type="dxa"/>
            <w:vAlign w:val="top"/>
          </w:tcPr>
          <w:p w14:paraId="30D0EEA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36B1EE5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《学校卫生工作条例》第二十八条第（一）、（二）、（三）项。</w:t>
            </w:r>
          </w:p>
        </w:tc>
        <w:tc>
          <w:tcPr>
            <w:tcW w:w="1545" w:type="dxa"/>
            <w:vAlign w:val="top"/>
          </w:tcPr>
          <w:p w14:paraId="26E2F34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646902D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626A6A4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26CE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82" w:type="dxa"/>
            <w:vAlign w:val="center"/>
          </w:tcPr>
          <w:p w14:paraId="05C28682">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7</w:t>
            </w:r>
          </w:p>
        </w:tc>
        <w:tc>
          <w:tcPr>
            <w:tcW w:w="4005" w:type="dxa"/>
            <w:vAlign w:val="top"/>
          </w:tcPr>
          <w:p w14:paraId="32759275">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对医疗机构的执业活动的行政检查</w:t>
            </w:r>
          </w:p>
        </w:tc>
        <w:tc>
          <w:tcPr>
            <w:tcW w:w="1575" w:type="dxa"/>
            <w:vAlign w:val="top"/>
          </w:tcPr>
          <w:p w14:paraId="1267E80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7EF308D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《医疗机构管理条例》第三十九条第（二）项</w:t>
            </w:r>
          </w:p>
        </w:tc>
        <w:tc>
          <w:tcPr>
            <w:tcW w:w="1545" w:type="dxa"/>
            <w:vAlign w:val="top"/>
          </w:tcPr>
          <w:p w14:paraId="3A1F616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4DD6C5E4">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7A44B66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1A31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3CC057FB">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8</w:t>
            </w:r>
          </w:p>
        </w:tc>
        <w:tc>
          <w:tcPr>
            <w:tcW w:w="4005" w:type="dxa"/>
            <w:vAlign w:val="top"/>
          </w:tcPr>
          <w:p w14:paraId="54C6E2BE">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对医疗机构执行有关法律、法规、规章和标准的情况的行政检查</w:t>
            </w:r>
          </w:p>
        </w:tc>
        <w:tc>
          <w:tcPr>
            <w:tcW w:w="1575" w:type="dxa"/>
            <w:vAlign w:val="top"/>
          </w:tcPr>
          <w:p w14:paraId="7EA1D8D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7A2C6A0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《医疗机构管理条例实施细则》第七十条第（一）项。</w:t>
            </w:r>
          </w:p>
        </w:tc>
        <w:tc>
          <w:tcPr>
            <w:tcW w:w="1545" w:type="dxa"/>
            <w:vAlign w:val="top"/>
          </w:tcPr>
          <w:p w14:paraId="3818CB1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783720F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183F1E5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527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0DE57E83">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9</w:t>
            </w:r>
          </w:p>
        </w:tc>
        <w:tc>
          <w:tcPr>
            <w:tcW w:w="4005" w:type="dxa"/>
            <w:vAlign w:val="top"/>
          </w:tcPr>
          <w:p w14:paraId="0EB6BC9A">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对医疗卫生机构和医疗废物集中处置单位从事医疗废物的收集、运送、贮存、处置中的疾病防治工作，以及工作人员的卫生防护等情况的行政检查</w:t>
            </w:r>
          </w:p>
        </w:tc>
        <w:tc>
          <w:tcPr>
            <w:tcW w:w="1575" w:type="dxa"/>
            <w:vAlign w:val="top"/>
          </w:tcPr>
          <w:p w14:paraId="61B3814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579A49A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《医疗废物管理条例》三十五条</w:t>
            </w:r>
          </w:p>
        </w:tc>
        <w:tc>
          <w:tcPr>
            <w:tcW w:w="1545" w:type="dxa"/>
            <w:vAlign w:val="top"/>
          </w:tcPr>
          <w:p w14:paraId="25A06A8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4C30A5BA">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560F78C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7110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882" w:type="dxa"/>
            <w:vAlign w:val="center"/>
          </w:tcPr>
          <w:p w14:paraId="3AA532BF">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10</w:t>
            </w:r>
          </w:p>
        </w:tc>
        <w:tc>
          <w:tcPr>
            <w:tcW w:w="4005" w:type="dxa"/>
            <w:vAlign w:val="top"/>
          </w:tcPr>
          <w:p w14:paraId="6566F1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225" w:afterAutospacing="0" w:line="300" w:lineRule="exact"/>
              <w:ind w:left="0" w:leftChars="0" w:right="0" w:rightChars="0" w:firstLine="42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疾病预防控制机构、医疗机构、采供血机构的传染病预防、控制工作；对用于传染病防治的消毒产品及其生产企业、饮用水供水单位以及涉及饮用水卫生安全的产品；对公共场所、学校、托育机构的卫生条件和传染病预防、控制措施；对病原微生物菌（毒）种和传染病检测样本的采集、保藏、提供、携带、运输、使用的行政检查</w:t>
            </w:r>
          </w:p>
        </w:tc>
        <w:tc>
          <w:tcPr>
            <w:tcW w:w="1575" w:type="dxa"/>
            <w:vAlign w:val="top"/>
          </w:tcPr>
          <w:p w14:paraId="678FF3E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3287BD3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《中华人民共和国传染病防治法》第九十三条第一款第（二）、（三）、（四）项，第二款</w:t>
            </w:r>
          </w:p>
        </w:tc>
        <w:tc>
          <w:tcPr>
            <w:tcW w:w="1545" w:type="dxa"/>
            <w:vAlign w:val="top"/>
          </w:tcPr>
          <w:p w14:paraId="513FA1E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77829D0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14FBCC4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3B12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11F5FBA7">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11</w:t>
            </w:r>
          </w:p>
        </w:tc>
        <w:tc>
          <w:tcPr>
            <w:tcW w:w="4005" w:type="dxa"/>
            <w:vAlign w:val="top"/>
          </w:tcPr>
          <w:p w14:paraId="0F9AAE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225" w:afterAutospacing="0" w:line="300" w:lineRule="exact"/>
              <w:ind w:right="0"/>
              <w:jc w:val="left"/>
              <w:textAlignment w:val="auto"/>
              <w:rPr>
                <w:rFonts w:hint="eastAsia" w:eastAsia="仿宋" w:asciiTheme="minorAscii" w:hAnsiTheme="minorAscii" w:cstheme="minorBidi"/>
                <w:kern w:val="2"/>
                <w:sz w:val="32"/>
                <w:szCs w:val="24"/>
                <w:lang w:val="en-US" w:eastAsia="zh-CN" w:bidi="ar-SA"/>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对母婴保健管理工作的行政检查</w:t>
            </w:r>
          </w:p>
        </w:tc>
        <w:tc>
          <w:tcPr>
            <w:tcW w:w="1575" w:type="dxa"/>
            <w:vAlign w:val="top"/>
          </w:tcPr>
          <w:p w14:paraId="6F773BB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3DCDF6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《中华人民共和国母婴保健法实施办法》 第三十四条第（二）项</w:t>
            </w:r>
          </w:p>
        </w:tc>
        <w:tc>
          <w:tcPr>
            <w:tcW w:w="1545" w:type="dxa"/>
            <w:vAlign w:val="top"/>
          </w:tcPr>
          <w:p w14:paraId="54041E2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75F23C8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3E2A98D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3BD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3DE27679">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12</w:t>
            </w:r>
          </w:p>
        </w:tc>
        <w:tc>
          <w:tcPr>
            <w:tcW w:w="4005" w:type="dxa"/>
            <w:vAlign w:val="top"/>
          </w:tcPr>
          <w:p w14:paraId="145222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225"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辖区内开展放射诊疗的医疗机构在执行法律、法规、规章、标准和规范等情况；放射诊疗规章制度和工作人员岗位责任制等制度的落实情况；健康监护制度和防护措施的落实情况；放射事件调查处理和报告情况的行政检查。</w:t>
            </w:r>
          </w:p>
        </w:tc>
        <w:tc>
          <w:tcPr>
            <w:tcW w:w="1575" w:type="dxa"/>
            <w:vAlign w:val="top"/>
          </w:tcPr>
          <w:p w14:paraId="3CE1512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69B009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《放射诊疗管理规定》第三十四条第（一）、（二）、（三）、（四）项</w:t>
            </w:r>
          </w:p>
        </w:tc>
        <w:tc>
          <w:tcPr>
            <w:tcW w:w="1545" w:type="dxa"/>
            <w:vAlign w:val="top"/>
          </w:tcPr>
          <w:p w14:paraId="798999E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250F646D">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2CCBD00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29B4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18EFE209">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13</w:t>
            </w:r>
          </w:p>
        </w:tc>
        <w:tc>
          <w:tcPr>
            <w:tcW w:w="4005" w:type="dxa"/>
            <w:vAlign w:val="top"/>
          </w:tcPr>
          <w:p w14:paraId="034EC8D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对辖区内献血工作的行政检查</w:t>
            </w:r>
          </w:p>
        </w:tc>
        <w:tc>
          <w:tcPr>
            <w:tcW w:w="1575" w:type="dxa"/>
            <w:vAlign w:val="top"/>
          </w:tcPr>
          <w:p w14:paraId="04F8322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30A157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《中华人民共和国献血法》第四条</w:t>
            </w:r>
          </w:p>
        </w:tc>
        <w:tc>
          <w:tcPr>
            <w:tcW w:w="1545" w:type="dxa"/>
            <w:vAlign w:val="top"/>
          </w:tcPr>
          <w:p w14:paraId="34D9EE0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07335FF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1E28939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08CC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55282FA1">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14</w:t>
            </w:r>
          </w:p>
        </w:tc>
        <w:tc>
          <w:tcPr>
            <w:tcW w:w="4005" w:type="dxa"/>
            <w:vAlign w:val="top"/>
          </w:tcPr>
          <w:p w14:paraId="7AF5ACD7">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对本行政区域内的单采血浆站、供血浆者、原料血浆的采集及血液制品经营单位的行政检查</w:t>
            </w:r>
          </w:p>
        </w:tc>
        <w:tc>
          <w:tcPr>
            <w:tcW w:w="1575" w:type="dxa"/>
            <w:vAlign w:val="top"/>
          </w:tcPr>
          <w:p w14:paraId="0518580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676641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《血液制品管理条例》第三十条</w:t>
            </w:r>
          </w:p>
        </w:tc>
        <w:tc>
          <w:tcPr>
            <w:tcW w:w="1545" w:type="dxa"/>
            <w:vAlign w:val="top"/>
          </w:tcPr>
          <w:p w14:paraId="24EFAC2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1D0310BF">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50F017D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3A1A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82" w:type="dxa"/>
            <w:vAlign w:val="center"/>
          </w:tcPr>
          <w:p w14:paraId="3DA2D4E1">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15</w:t>
            </w:r>
          </w:p>
        </w:tc>
        <w:tc>
          <w:tcPr>
            <w:tcW w:w="4005" w:type="dxa"/>
            <w:vAlign w:val="top"/>
          </w:tcPr>
          <w:p w14:paraId="5D510F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225"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对有关机构、场所和物品的消毒工作；对消毒产品生产企业执行《消毒产品生产企业卫生规范》情况；对消毒产品的卫生质量；对消毒服务机构的消毒服务质量的行政检查。</w:t>
            </w:r>
          </w:p>
        </w:tc>
        <w:tc>
          <w:tcPr>
            <w:tcW w:w="1575" w:type="dxa"/>
            <w:vAlign w:val="top"/>
          </w:tcPr>
          <w:p w14:paraId="7785BD4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7248B7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《消毒管理办法》第三十六条，第（一）、（二）、（三）、（四）项</w:t>
            </w:r>
          </w:p>
        </w:tc>
        <w:tc>
          <w:tcPr>
            <w:tcW w:w="1545" w:type="dxa"/>
            <w:vAlign w:val="top"/>
          </w:tcPr>
          <w:p w14:paraId="62ADC16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6EF75062">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4AE7D378">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1B6D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82" w:type="dxa"/>
            <w:vAlign w:val="center"/>
          </w:tcPr>
          <w:p w14:paraId="6DF43455">
            <w:pPr>
              <w:jc w:val="center"/>
              <w:rPr>
                <w:rFonts w:hint="eastAsia" w:asciiTheme="minorEastAsia" w:hAnsiTheme="minorEastAsia" w:eastAsiaTheme="minorEastAsia" w:cstheme="minorEastAsia"/>
                <w:sz w:val="24"/>
                <w:szCs w:val="21"/>
                <w:highlight w:val="none"/>
                <w:lang w:val="en-US" w:eastAsia="zh-CN"/>
              </w:rPr>
            </w:pPr>
            <w:r>
              <w:rPr>
                <w:rFonts w:hint="eastAsia" w:asciiTheme="minorEastAsia" w:hAnsiTheme="minorEastAsia" w:eastAsiaTheme="minorEastAsia" w:cstheme="minorEastAsia"/>
                <w:sz w:val="24"/>
                <w:szCs w:val="21"/>
                <w:highlight w:val="none"/>
                <w:lang w:val="en-US" w:eastAsia="zh-CN"/>
              </w:rPr>
              <w:t>16</w:t>
            </w:r>
          </w:p>
        </w:tc>
        <w:tc>
          <w:tcPr>
            <w:tcW w:w="4005" w:type="dxa"/>
            <w:vAlign w:val="top"/>
          </w:tcPr>
          <w:p w14:paraId="5F2B0B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225" w:afterAutospacing="0" w:line="300" w:lineRule="exact"/>
              <w:ind w:right="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i w:val="0"/>
                <w:iCs w:val="0"/>
                <w:caps w:val="0"/>
                <w:color w:val="333333"/>
                <w:spacing w:val="0"/>
                <w:kern w:val="0"/>
                <w:sz w:val="24"/>
                <w:szCs w:val="24"/>
                <w:highlight w:val="none"/>
                <w:shd w:val="clear" w:color="auto" w:fill="FFFFFF"/>
                <w:lang w:val="en-US" w:eastAsia="zh-CN" w:bidi="ar"/>
              </w:rPr>
              <w:t>对免疫规划制度的实施、预防接种活动的行政检查。</w:t>
            </w:r>
          </w:p>
        </w:tc>
        <w:tc>
          <w:tcPr>
            <w:tcW w:w="1575" w:type="dxa"/>
            <w:vAlign w:val="top"/>
          </w:tcPr>
          <w:p w14:paraId="12499F6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行政检查</w:t>
            </w:r>
          </w:p>
        </w:tc>
        <w:tc>
          <w:tcPr>
            <w:tcW w:w="2625" w:type="dxa"/>
            <w:vAlign w:val="top"/>
          </w:tcPr>
          <w:p w14:paraId="66FD9E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《中华人民共和国疫苗管理法》第七十条</w:t>
            </w:r>
          </w:p>
        </w:tc>
        <w:tc>
          <w:tcPr>
            <w:tcW w:w="1545" w:type="dxa"/>
            <w:vAlign w:val="top"/>
          </w:tcPr>
          <w:p w14:paraId="3B5DEB2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汾阳市卫生健康局</w:t>
            </w:r>
          </w:p>
        </w:tc>
        <w:tc>
          <w:tcPr>
            <w:tcW w:w="2415" w:type="dxa"/>
            <w:vAlign w:val="top"/>
          </w:tcPr>
          <w:p w14:paraId="084AAAC7">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汾阳市疾病预防控制中心（卫生监督所）</w:t>
            </w:r>
          </w:p>
        </w:tc>
        <w:tc>
          <w:tcPr>
            <w:tcW w:w="929" w:type="dxa"/>
            <w:vAlign w:val="center"/>
          </w:tcPr>
          <w:p w14:paraId="50DF3A37">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auto"/>
              <w:rPr>
                <w:rFonts w:hint="default" w:ascii="仿宋_GB2312" w:hAnsi="仿宋_GB2312" w:eastAsia="仿宋_GB2312" w:cs="仿宋_GB2312"/>
                <w:b w:val="0"/>
                <w:bCs w:val="0"/>
                <w:sz w:val="28"/>
                <w:szCs w:val="28"/>
                <w:highlight w:val="none"/>
                <w:lang w:val="en-US" w:eastAsia="zh-CN"/>
              </w:rPr>
            </w:pPr>
          </w:p>
        </w:tc>
      </w:tr>
      <w:tr w14:paraId="3FEC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746CEA91">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17</w:t>
            </w:r>
          </w:p>
        </w:tc>
        <w:tc>
          <w:tcPr>
            <w:tcW w:w="4005" w:type="dxa"/>
            <w:vAlign w:val="top"/>
          </w:tcPr>
          <w:p w14:paraId="7535FD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225" w:afterAutospacing="0" w:line="300" w:lineRule="exact"/>
              <w:ind w:right="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病原微生物菌（毒）种、样本的采集、运输、储存；从事高致病性病原微生物相关实验活动的实验室是否符合本条例规定的条件；实验室或者实验室的设立单位培训、考核其工作人员以及上岗人员的情况；实验室是否按照有关国家标准、技术规范和操作规程从事病原微生物相关实验活动的行政检查。</w:t>
            </w:r>
          </w:p>
        </w:tc>
        <w:tc>
          <w:tcPr>
            <w:tcW w:w="1575" w:type="dxa"/>
            <w:vAlign w:val="top"/>
          </w:tcPr>
          <w:p w14:paraId="71F4F27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7B0C76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《病原微生物实验室生物安全管理条例》第四十九条第（一）、（二）、（三）、（四）项</w:t>
            </w:r>
          </w:p>
        </w:tc>
        <w:tc>
          <w:tcPr>
            <w:tcW w:w="1545" w:type="dxa"/>
            <w:vAlign w:val="top"/>
          </w:tcPr>
          <w:p w14:paraId="3B8C0B9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3C4FCA40">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top"/>
          </w:tcPr>
          <w:p w14:paraId="356C460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r>
      <w:tr w14:paraId="4150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716F601C">
            <w:pPr>
              <w:jc w:val="center"/>
              <w:rPr>
                <w:rFonts w:hint="eastAsia" w:asciiTheme="minorEastAsia" w:hAnsiTheme="minorEastAsia" w:eastAsiaTheme="minorEastAsia" w:cstheme="minorEastAsia"/>
                <w:sz w:val="24"/>
                <w:szCs w:val="21"/>
                <w:highlight w:val="none"/>
                <w:lang w:val="en-US" w:eastAsia="zh-CN"/>
              </w:rPr>
            </w:pPr>
            <w:r>
              <w:rPr>
                <w:rFonts w:hint="eastAsia" w:asciiTheme="minorEastAsia" w:hAnsiTheme="minorEastAsia" w:eastAsiaTheme="minorEastAsia" w:cstheme="minorEastAsia"/>
                <w:sz w:val="24"/>
                <w:szCs w:val="21"/>
                <w:highlight w:val="none"/>
                <w:lang w:val="en-US" w:eastAsia="zh-CN"/>
              </w:rPr>
              <w:t>18</w:t>
            </w:r>
          </w:p>
        </w:tc>
        <w:tc>
          <w:tcPr>
            <w:tcW w:w="4005" w:type="dxa"/>
            <w:vAlign w:val="top"/>
          </w:tcPr>
          <w:p w14:paraId="05E395E4">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i w:val="0"/>
                <w:iCs w:val="0"/>
                <w:caps w:val="0"/>
                <w:color w:val="333333"/>
                <w:spacing w:val="0"/>
                <w:kern w:val="0"/>
                <w:sz w:val="24"/>
                <w:szCs w:val="24"/>
                <w:highlight w:val="none"/>
                <w:shd w:val="clear" w:color="auto" w:fill="FFFFFF"/>
                <w:lang w:val="en-US" w:eastAsia="zh-CN" w:bidi="ar"/>
              </w:rPr>
              <w:t>对本行政区域内的突发公共卫生事件与传染病疫情监测信息报告管理工作的行政检查。</w:t>
            </w:r>
          </w:p>
        </w:tc>
        <w:tc>
          <w:tcPr>
            <w:tcW w:w="1575" w:type="dxa"/>
            <w:vAlign w:val="top"/>
          </w:tcPr>
          <w:p w14:paraId="6A792ED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行政检查</w:t>
            </w:r>
          </w:p>
        </w:tc>
        <w:tc>
          <w:tcPr>
            <w:tcW w:w="2625" w:type="dxa"/>
            <w:vAlign w:val="top"/>
          </w:tcPr>
          <w:p w14:paraId="3B91B5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《突发公共卫生事件与传染病疫情监测信息报告管理办法》第三十四、三十五条</w:t>
            </w:r>
          </w:p>
        </w:tc>
        <w:tc>
          <w:tcPr>
            <w:tcW w:w="1545" w:type="dxa"/>
            <w:vAlign w:val="top"/>
          </w:tcPr>
          <w:p w14:paraId="454852F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汾阳市卫生健康局</w:t>
            </w:r>
          </w:p>
        </w:tc>
        <w:tc>
          <w:tcPr>
            <w:tcW w:w="2415" w:type="dxa"/>
            <w:vAlign w:val="top"/>
          </w:tcPr>
          <w:p w14:paraId="3C27C24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汾阳市疾病预防控制中心（卫生监督所）</w:t>
            </w:r>
          </w:p>
        </w:tc>
        <w:tc>
          <w:tcPr>
            <w:tcW w:w="929" w:type="dxa"/>
            <w:vAlign w:val="center"/>
          </w:tcPr>
          <w:p w14:paraId="0B340520">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p>
        </w:tc>
      </w:tr>
      <w:tr w14:paraId="1CD6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04CD5D6F">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19</w:t>
            </w:r>
          </w:p>
        </w:tc>
        <w:tc>
          <w:tcPr>
            <w:tcW w:w="4005" w:type="dxa"/>
            <w:vAlign w:val="top"/>
          </w:tcPr>
          <w:p w14:paraId="65D21269">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对执业医师开具麻醉药品和精神药品处方的情况的行政检查</w:t>
            </w:r>
          </w:p>
          <w:p w14:paraId="215A73E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tc>
        <w:tc>
          <w:tcPr>
            <w:tcW w:w="1575" w:type="dxa"/>
            <w:vAlign w:val="top"/>
          </w:tcPr>
          <w:p w14:paraId="499F592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70238F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《麻醉药品和精神药品管理条例》第六十二条</w:t>
            </w:r>
          </w:p>
        </w:tc>
        <w:tc>
          <w:tcPr>
            <w:tcW w:w="1545" w:type="dxa"/>
            <w:vAlign w:val="top"/>
          </w:tcPr>
          <w:p w14:paraId="48AD3A4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64416FED">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center"/>
          </w:tcPr>
          <w:p w14:paraId="53EF926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p>
        </w:tc>
      </w:tr>
      <w:tr w14:paraId="02C0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2E2C3C45">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20</w:t>
            </w:r>
          </w:p>
        </w:tc>
        <w:tc>
          <w:tcPr>
            <w:tcW w:w="4005" w:type="dxa"/>
            <w:vAlign w:val="top"/>
          </w:tcPr>
          <w:p w14:paraId="6591F744">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定期对本行政区域内医疗机构处方管理情况的行政检查</w:t>
            </w:r>
          </w:p>
        </w:tc>
        <w:tc>
          <w:tcPr>
            <w:tcW w:w="1575" w:type="dxa"/>
            <w:vAlign w:val="top"/>
          </w:tcPr>
          <w:p w14:paraId="5055DDF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764D83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《处方管理办法》第五十二条</w:t>
            </w:r>
          </w:p>
        </w:tc>
        <w:tc>
          <w:tcPr>
            <w:tcW w:w="1545" w:type="dxa"/>
            <w:vAlign w:val="top"/>
          </w:tcPr>
          <w:p w14:paraId="7ECD127F">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65C06DE4">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center"/>
          </w:tcPr>
          <w:p w14:paraId="7629213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p>
        </w:tc>
      </w:tr>
      <w:tr w14:paraId="6862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6DD1D64E">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21</w:t>
            </w:r>
          </w:p>
        </w:tc>
        <w:tc>
          <w:tcPr>
            <w:tcW w:w="4005" w:type="dxa"/>
            <w:vAlign w:val="top"/>
          </w:tcPr>
          <w:p w14:paraId="0A6CEF4B">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对职业病防治工作的行政检查。</w:t>
            </w:r>
          </w:p>
        </w:tc>
        <w:tc>
          <w:tcPr>
            <w:tcW w:w="1575" w:type="dxa"/>
            <w:vAlign w:val="top"/>
          </w:tcPr>
          <w:p w14:paraId="34E02CF5">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58091C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《中华人民共和国职业病防治法》第六十二条</w:t>
            </w:r>
          </w:p>
        </w:tc>
        <w:tc>
          <w:tcPr>
            <w:tcW w:w="1545" w:type="dxa"/>
            <w:vAlign w:val="top"/>
          </w:tcPr>
          <w:p w14:paraId="6691C32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5E8D9863">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center"/>
          </w:tcPr>
          <w:p w14:paraId="3572D9E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p>
        </w:tc>
      </w:tr>
      <w:tr w14:paraId="4ECE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5C252BCF">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22</w:t>
            </w:r>
          </w:p>
        </w:tc>
        <w:tc>
          <w:tcPr>
            <w:tcW w:w="4005" w:type="dxa"/>
            <w:vAlign w:val="top"/>
          </w:tcPr>
          <w:p w14:paraId="4235EC0E">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对医疗机构的医疗器械使用行为的行政检查</w:t>
            </w:r>
          </w:p>
        </w:tc>
        <w:tc>
          <w:tcPr>
            <w:tcW w:w="1575" w:type="dxa"/>
            <w:vAlign w:val="top"/>
          </w:tcPr>
          <w:p w14:paraId="4608ECE3">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0E19CE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《医疗器械监督管理条例》第七十一条</w:t>
            </w:r>
          </w:p>
        </w:tc>
        <w:tc>
          <w:tcPr>
            <w:tcW w:w="1545" w:type="dxa"/>
            <w:vAlign w:val="top"/>
          </w:tcPr>
          <w:p w14:paraId="773419A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1504CEED">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center"/>
          </w:tcPr>
          <w:p w14:paraId="0152A774">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p>
        </w:tc>
      </w:tr>
      <w:tr w14:paraId="1DD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30AE39C1">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23</w:t>
            </w:r>
          </w:p>
        </w:tc>
        <w:tc>
          <w:tcPr>
            <w:tcW w:w="4005" w:type="dxa"/>
            <w:vAlign w:val="top"/>
          </w:tcPr>
          <w:p w14:paraId="34814C19">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对大型医用设备的使用状况的行政检查</w:t>
            </w:r>
          </w:p>
        </w:tc>
        <w:tc>
          <w:tcPr>
            <w:tcW w:w="1575" w:type="dxa"/>
            <w:vAlign w:val="top"/>
          </w:tcPr>
          <w:p w14:paraId="7858629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53997D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《医疗器械监督管理条例》第七十三条第二款</w:t>
            </w:r>
          </w:p>
        </w:tc>
        <w:tc>
          <w:tcPr>
            <w:tcW w:w="1545" w:type="dxa"/>
            <w:vAlign w:val="top"/>
          </w:tcPr>
          <w:p w14:paraId="38AAD989">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6CD312A8">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center"/>
          </w:tcPr>
          <w:p w14:paraId="5EBD280B">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p>
        </w:tc>
      </w:tr>
      <w:tr w14:paraId="0E50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71A5959E">
            <w:pPr>
              <w:jc w:val="center"/>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24</w:t>
            </w:r>
          </w:p>
        </w:tc>
        <w:tc>
          <w:tcPr>
            <w:tcW w:w="4005" w:type="dxa"/>
            <w:vAlign w:val="top"/>
          </w:tcPr>
          <w:p w14:paraId="5B8BC02A">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i w:val="0"/>
                <w:iCs w:val="0"/>
                <w:caps w:val="0"/>
                <w:color w:val="333333"/>
                <w:spacing w:val="0"/>
                <w:kern w:val="0"/>
                <w:sz w:val="24"/>
                <w:szCs w:val="24"/>
                <w:shd w:val="clear" w:color="auto" w:fill="FFFFFF"/>
                <w:lang w:val="en-US" w:eastAsia="zh-CN" w:bidi="ar"/>
              </w:rPr>
              <w:t>对本行政区域内医疗机构医疗技术临床应用的行政检查</w:t>
            </w:r>
          </w:p>
        </w:tc>
        <w:tc>
          <w:tcPr>
            <w:tcW w:w="1575" w:type="dxa"/>
            <w:vAlign w:val="top"/>
          </w:tcPr>
          <w:p w14:paraId="0E2BA8C1">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行政检查</w:t>
            </w:r>
          </w:p>
        </w:tc>
        <w:tc>
          <w:tcPr>
            <w:tcW w:w="2625" w:type="dxa"/>
            <w:vAlign w:val="top"/>
          </w:tcPr>
          <w:p w14:paraId="26F4F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《医疗技术临床应用管理办法》第三十五条</w:t>
            </w:r>
          </w:p>
        </w:tc>
        <w:tc>
          <w:tcPr>
            <w:tcW w:w="1545" w:type="dxa"/>
            <w:vAlign w:val="top"/>
          </w:tcPr>
          <w:p w14:paraId="7A5731F2">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汾阳市卫生健康局</w:t>
            </w:r>
          </w:p>
        </w:tc>
        <w:tc>
          <w:tcPr>
            <w:tcW w:w="2415" w:type="dxa"/>
            <w:vAlign w:val="top"/>
          </w:tcPr>
          <w:p w14:paraId="337A92B5">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华文仿宋" w:hAnsi="华文仿宋" w:eastAsia="华文仿宋" w:cs="华文仿宋"/>
                <w:b w:val="0"/>
                <w:bCs w:val="0"/>
                <w:sz w:val="24"/>
                <w:szCs w:val="24"/>
                <w:vertAlign w:val="baseline"/>
                <w:lang w:val="en-US" w:eastAsia="zh-CN"/>
              </w:rPr>
              <w:t>汾阳市疾病预防控制中心（卫生监督所）</w:t>
            </w:r>
          </w:p>
        </w:tc>
        <w:tc>
          <w:tcPr>
            <w:tcW w:w="929" w:type="dxa"/>
            <w:vAlign w:val="center"/>
          </w:tcPr>
          <w:p w14:paraId="64535AEC">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p>
        </w:tc>
      </w:tr>
      <w:tr w14:paraId="5EDC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2" w:type="dxa"/>
            <w:vAlign w:val="center"/>
          </w:tcPr>
          <w:p w14:paraId="723DE0EB">
            <w:pPr>
              <w:jc w:val="center"/>
              <w:rPr>
                <w:rFonts w:hint="eastAsia" w:asciiTheme="minorEastAsia" w:hAnsiTheme="minorEastAsia" w:eastAsiaTheme="minorEastAsia" w:cstheme="minorEastAsia"/>
                <w:sz w:val="24"/>
                <w:szCs w:val="21"/>
                <w:highlight w:val="none"/>
                <w:lang w:val="en-US" w:eastAsia="zh-CN"/>
              </w:rPr>
            </w:pPr>
            <w:r>
              <w:rPr>
                <w:rFonts w:hint="eastAsia" w:asciiTheme="minorEastAsia" w:hAnsiTheme="minorEastAsia" w:eastAsiaTheme="minorEastAsia" w:cstheme="minorEastAsia"/>
                <w:sz w:val="24"/>
                <w:szCs w:val="21"/>
                <w:highlight w:val="none"/>
                <w:lang w:val="en-US" w:eastAsia="zh-CN"/>
              </w:rPr>
              <w:t>25</w:t>
            </w:r>
          </w:p>
        </w:tc>
        <w:tc>
          <w:tcPr>
            <w:tcW w:w="4005" w:type="dxa"/>
            <w:vAlign w:val="top"/>
          </w:tcPr>
          <w:p w14:paraId="09FD1FC8">
            <w:pPr>
              <w:keepNext w:val="0"/>
              <w:keepLines w:val="0"/>
              <w:pageBreakBefore w:val="0"/>
              <w:widowControl/>
              <w:suppressLineNumbers w:val="0"/>
              <w:kinsoku/>
              <w:wordWrap/>
              <w:overflowPunct/>
              <w:topLinePunct w:val="0"/>
              <w:autoSpaceDE/>
              <w:autoSpaceDN/>
              <w:bidi w:val="0"/>
              <w:snapToGrid/>
              <w:spacing w:line="300" w:lineRule="exact"/>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对</w:t>
            </w:r>
            <w:r>
              <w:rPr>
                <w:rFonts w:hint="eastAsia" w:ascii="华文仿宋" w:hAnsi="华文仿宋" w:eastAsia="华文仿宋" w:cs="华文仿宋"/>
                <w:i w:val="0"/>
                <w:iCs w:val="0"/>
                <w:caps w:val="0"/>
                <w:color w:val="333333"/>
                <w:spacing w:val="0"/>
                <w:kern w:val="0"/>
                <w:sz w:val="24"/>
                <w:szCs w:val="24"/>
                <w:highlight w:val="none"/>
                <w:shd w:val="clear" w:color="auto" w:fill="FFFFFF"/>
                <w:lang w:val="en-US" w:eastAsia="zh-CN" w:bidi="ar"/>
              </w:rPr>
              <w:t>人体器官捐献和移植的行政检查</w:t>
            </w:r>
          </w:p>
        </w:tc>
        <w:tc>
          <w:tcPr>
            <w:tcW w:w="1575" w:type="dxa"/>
            <w:vAlign w:val="top"/>
          </w:tcPr>
          <w:p w14:paraId="6DA7DA1A">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行政检查</w:t>
            </w:r>
          </w:p>
        </w:tc>
        <w:tc>
          <w:tcPr>
            <w:tcW w:w="2625" w:type="dxa"/>
            <w:vAlign w:val="top"/>
          </w:tcPr>
          <w:p w14:paraId="10E40725">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《人体器官捐献和移植条例》第四条</w:t>
            </w:r>
          </w:p>
        </w:tc>
        <w:tc>
          <w:tcPr>
            <w:tcW w:w="1545" w:type="dxa"/>
            <w:vAlign w:val="top"/>
          </w:tcPr>
          <w:p w14:paraId="2F07185E">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汾阳市卫生健康局</w:t>
            </w:r>
          </w:p>
        </w:tc>
        <w:tc>
          <w:tcPr>
            <w:tcW w:w="2415" w:type="dxa"/>
            <w:vAlign w:val="top"/>
          </w:tcPr>
          <w:p w14:paraId="0B5A1144">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华文仿宋" w:hAnsi="华文仿宋" w:eastAsia="华文仿宋" w:cs="华文仿宋"/>
                <w:b w:val="0"/>
                <w:bCs w:val="0"/>
                <w:sz w:val="24"/>
                <w:szCs w:val="24"/>
                <w:highlight w:val="none"/>
                <w:vertAlign w:val="baseline"/>
                <w:lang w:val="en-US" w:eastAsia="zh-CN"/>
              </w:rPr>
              <w:t>汾阳市疾病预防控制中心（卫生监督所）</w:t>
            </w:r>
          </w:p>
        </w:tc>
        <w:tc>
          <w:tcPr>
            <w:tcW w:w="929" w:type="dxa"/>
            <w:vAlign w:val="center"/>
          </w:tcPr>
          <w:p w14:paraId="48101F7D">
            <w:pPr>
              <w:pStyle w:val="2"/>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r>
    </w:tbl>
    <w:p w14:paraId="532590A4"/>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B31D8"/>
    <w:rsid w:val="06B44135"/>
    <w:rsid w:val="08720F75"/>
    <w:rsid w:val="08AE02E0"/>
    <w:rsid w:val="159A7059"/>
    <w:rsid w:val="1B346DD4"/>
    <w:rsid w:val="22F26A17"/>
    <w:rsid w:val="23492CBB"/>
    <w:rsid w:val="23786808"/>
    <w:rsid w:val="28060F58"/>
    <w:rsid w:val="2CA21E39"/>
    <w:rsid w:val="2E846CC1"/>
    <w:rsid w:val="4A7B31D8"/>
    <w:rsid w:val="54D1251E"/>
    <w:rsid w:val="55BB019E"/>
    <w:rsid w:val="612E2333"/>
    <w:rsid w:val="6A0B315F"/>
    <w:rsid w:val="6AC11C71"/>
    <w:rsid w:val="70A7185C"/>
    <w:rsid w:val="7D956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wei/C:\Users\Administrator\Desktop\&#34892;&#25919;&#25191;&#27861;&#20107;&#39033;&#30446;&#24405;&#28165;&#21333;&#65288;&#27169;&#26495;&#65289;(1).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行政执法事项目录清单（模板）(1).docx</Template>
  <Pages>4</Pages>
  <Words>2478</Words>
  <Characters>2505</Characters>
  <Lines>0</Lines>
  <Paragraphs>0</Paragraphs>
  <TotalTime>0</TotalTime>
  <ScaleCrop>false</ScaleCrop>
  <LinksUpToDate>false</LinksUpToDate>
  <CharactersWithSpaces>2518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2025-09-28T09:29:00Z</dcterms:created>
  <dc:creator>姚若花</dc:creator>
  <cp:lastModifiedBy>huawei</cp:lastModifiedBy>
  <cp:lastPrinted>2025-11-20T16:36:00Z</cp:lastPrinted>
  <dcterms:modified xsi:type="dcterms:W3CDTF">2025-12-17T17:54:55Z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4B50F7063658E561EF7D426912F4E9B1_43</vt:lpwstr>
  </property>
  <property fmtid="{D5CDD505-2E9C-101B-9397-08002B2CF9AE}" pid="4" name="KSOTemplateDocerSaveRecord">
    <vt:lpwstr>eyJoZGlkIjoiOTE1MjY1NGEyODRkNWQ4NmU3NGEzY2M4OTQ4OGY1OWYiLCJ1c2VySWQiOiI0OTg2NzYzMzYifQ==</vt:lpwstr>
  </property>
</Properties>
</file>